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3A0" w:rsidRDefault="00416B76" w:rsidP="001F6496">
      <w:pPr>
        <w:spacing w:before="120" w:after="0" w:line="240" w:lineRule="auto"/>
        <w:rPr>
          <w:rFonts w:cstheme="minorHAnsi"/>
          <w:b/>
        </w:rPr>
      </w:pPr>
      <w:r w:rsidRPr="001F6496">
        <w:rPr>
          <w:rFonts w:cstheme="minorHAnsi"/>
          <w:b/>
        </w:rPr>
        <w:t xml:space="preserve">To: </w:t>
      </w:r>
      <w:r w:rsidR="00400BFC">
        <w:rPr>
          <w:rFonts w:cstheme="minorHAnsi"/>
          <w:b/>
        </w:rPr>
        <w:t xml:space="preserve">Office of the Chief </w:t>
      </w:r>
      <w:r w:rsidR="002323A0">
        <w:rPr>
          <w:rFonts w:cstheme="minorHAnsi"/>
          <w:b/>
        </w:rPr>
        <w:t>E</w:t>
      </w:r>
      <w:r w:rsidR="00400BFC">
        <w:rPr>
          <w:rFonts w:cstheme="minorHAnsi"/>
          <w:b/>
        </w:rPr>
        <w:t xml:space="preserve">nvironmental Biosecurity Officer  </w:t>
      </w:r>
    </w:p>
    <w:p w:rsidR="00400BFC" w:rsidRDefault="00400BFC" w:rsidP="001F6496">
      <w:pPr>
        <w:spacing w:before="120" w:after="0" w:line="240" w:lineRule="auto"/>
        <w:rPr>
          <w:rFonts w:cstheme="minorHAnsi"/>
          <w:b/>
        </w:rPr>
      </w:pPr>
      <w:r>
        <w:rPr>
          <w:rFonts w:cstheme="minorHAnsi"/>
          <w:b/>
        </w:rPr>
        <w:t>From: The Australian Network for Plant Conservation Inc. (ANPC)</w:t>
      </w:r>
    </w:p>
    <w:p w:rsidR="00400BFC" w:rsidRDefault="002323A0" w:rsidP="001F6496">
      <w:pPr>
        <w:spacing w:before="120" w:after="0" w:line="240" w:lineRule="auto"/>
        <w:rPr>
          <w:rFonts w:cstheme="minorHAnsi"/>
          <w:b/>
        </w:rPr>
      </w:pPr>
      <w:r>
        <w:rPr>
          <w:rFonts w:cstheme="minorHAnsi"/>
          <w:b/>
        </w:rPr>
        <w:t xml:space="preserve">Office contact:  Jo Lynch, Business Manager: </w:t>
      </w:r>
      <w:hyperlink r:id="rId5" w:history="1">
        <w:r w:rsidR="002F301C" w:rsidRPr="001400E9">
          <w:rPr>
            <w:rStyle w:val="Hyperlink"/>
            <w:rFonts w:cstheme="minorHAnsi"/>
            <w:b/>
          </w:rPr>
          <w:t>business@anpc.asn.au</w:t>
        </w:r>
      </w:hyperlink>
      <w:r w:rsidR="002F301C">
        <w:rPr>
          <w:rFonts w:cstheme="minorHAnsi"/>
          <w:b/>
        </w:rPr>
        <w:t xml:space="preserve">, </w:t>
      </w:r>
      <w:proofErr w:type="spellStart"/>
      <w:r w:rsidR="002F301C">
        <w:rPr>
          <w:rFonts w:cstheme="minorHAnsi"/>
          <w:b/>
        </w:rPr>
        <w:t>ph</w:t>
      </w:r>
      <w:proofErr w:type="spellEnd"/>
      <w:r w:rsidR="002F301C">
        <w:rPr>
          <w:rFonts w:cstheme="minorHAnsi"/>
          <w:b/>
        </w:rPr>
        <w:t xml:space="preserve"> 02 6250 9509.</w:t>
      </w:r>
    </w:p>
    <w:p w:rsidR="002F301C" w:rsidRDefault="002F301C" w:rsidP="001F6496">
      <w:pPr>
        <w:spacing w:before="120" w:after="0" w:line="240" w:lineRule="auto"/>
        <w:rPr>
          <w:rFonts w:cstheme="minorHAnsi"/>
          <w:b/>
        </w:rPr>
      </w:pPr>
      <w:r>
        <w:rPr>
          <w:rFonts w:cstheme="minorHAnsi"/>
          <w:b/>
        </w:rPr>
        <w:t xml:space="preserve">Biosecurity issues: Bob Makinson, Vice President, </w:t>
      </w:r>
      <w:hyperlink r:id="rId6" w:history="1">
        <w:r w:rsidRPr="001400E9">
          <w:rPr>
            <w:rStyle w:val="Hyperlink"/>
            <w:rFonts w:cstheme="minorHAnsi"/>
            <w:b/>
          </w:rPr>
          <w:t>bobmakinson2073@gmail.com</w:t>
        </w:r>
      </w:hyperlink>
      <w:r>
        <w:rPr>
          <w:rFonts w:cstheme="minorHAnsi"/>
          <w:b/>
        </w:rPr>
        <w:t>, p 0458 411 055.</w:t>
      </w:r>
    </w:p>
    <w:p w:rsidR="002F301C" w:rsidRDefault="002F301C" w:rsidP="001F6496">
      <w:pPr>
        <w:spacing w:before="120" w:after="0" w:line="240" w:lineRule="auto"/>
        <w:rPr>
          <w:rFonts w:cstheme="minorHAnsi"/>
          <w:b/>
        </w:rPr>
      </w:pPr>
    </w:p>
    <w:p w:rsidR="00416B76" w:rsidRPr="00E20D99" w:rsidRDefault="002F301C" w:rsidP="001F6496">
      <w:pPr>
        <w:spacing w:before="120" w:after="0" w:line="240" w:lineRule="auto"/>
        <w:rPr>
          <w:rFonts w:cstheme="minorHAnsi"/>
          <w:lang w:val="en"/>
        </w:rPr>
      </w:pPr>
      <w:r>
        <w:rPr>
          <w:rFonts w:cstheme="minorHAnsi"/>
          <w:b/>
        </w:rPr>
        <w:t>ANPC s</w:t>
      </w:r>
      <w:r w:rsidR="00400BFC">
        <w:rPr>
          <w:rFonts w:cstheme="minorHAnsi"/>
          <w:b/>
        </w:rPr>
        <w:t xml:space="preserve">ubmission on the </w:t>
      </w:r>
      <w:r w:rsidR="00416B76" w:rsidRPr="00400BFC">
        <w:rPr>
          <w:rFonts w:cstheme="minorHAnsi"/>
          <w:b/>
          <w:i/>
          <w:lang w:val="en"/>
        </w:rPr>
        <w:t>Priority list of exotic environmental pests and diseases</w:t>
      </w:r>
      <w:r w:rsidR="00416B76" w:rsidRPr="00E20D99">
        <w:rPr>
          <w:rFonts w:cstheme="minorHAnsi"/>
          <w:b/>
          <w:lang w:val="en"/>
        </w:rPr>
        <w:t xml:space="preserve">, </w:t>
      </w:r>
      <w:r>
        <w:rPr>
          <w:rFonts w:cstheme="minorHAnsi"/>
          <w:b/>
          <w:lang w:val="en"/>
        </w:rPr>
        <w:t>30 Sept. 2019</w:t>
      </w:r>
      <w:r w:rsidR="00416B76" w:rsidRPr="00E20D99">
        <w:rPr>
          <w:rFonts w:cstheme="minorHAnsi"/>
          <w:lang w:val="en"/>
        </w:rPr>
        <w:t>.</w:t>
      </w:r>
    </w:p>
    <w:p w:rsidR="00400BFC" w:rsidRDefault="00400BFC" w:rsidP="001F6496">
      <w:pPr>
        <w:spacing w:before="120" w:after="0" w:line="240" w:lineRule="auto"/>
        <w:rPr>
          <w:rFonts w:cstheme="minorHAnsi"/>
          <w:lang w:val="en"/>
        </w:rPr>
      </w:pPr>
    </w:p>
    <w:p w:rsidR="002F301C" w:rsidRDefault="002F301C" w:rsidP="001F6496">
      <w:pPr>
        <w:spacing w:before="120" w:after="0" w:line="240" w:lineRule="auto"/>
        <w:rPr>
          <w:lang w:val="en"/>
        </w:rPr>
      </w:pPr>
      <w:r>
        <w:rPr>
          <w:rFonts w:cstheme="minorHAnsi"/>
          <w:lang w:val="en"/>
        </w:rPr>
        <w:t xml:space="preserve">Thank you for the opportunity to comment on the Priority List of Exotic Environmental Pests and Diseases. </w:t>
      </w:r>
    </w:p>
    <w:p w:rsidR="002D42FA" w:rsidRDefault="00400BFC" w:rsidP="001F6496">
      <w:pPr>
        <w:spacing w:before="120" w:after="0" w:line="240" w:lineRule="auto"/>
        <w:rPr>
          <w:rFonts w:cstheme="minorHAnsi"/>
          <w:lang w:val="en"/>
        </w:rPr>
      </w:pPr>
      <w:r>
        <w:rPr>
          <w:rFonts w:cstheme="minorHAnsi"/>
          <w:lang w:val="en"/>
        </w:rPr>
        <w:t>We note that t</w:t>
      </w:r>
      <w:r w:rsidR="00416B76" w:rsidRPr="00E20D99">
        <w:rPr>
          <w:rFonts w:cstheme="minorHAnsi"/>
          <w:lang w:val="en"/>
        </w:rPr>
        <w:t xml:space="preserve">he need for such a list was included in recommendations of the 2017 review of the capacity of the national biosecurity system (Craik et al., 2017: </w:t>
      </w:r>
      <w:hyperlink r:id="rId7" w:anchor="final-report" w:history="1">
        <w:r w:rsidR="002F301C" w:rsidRPr="001400E9">
          <w:rPr>
            <w:rStyle w:val="Hyperlink"/>
            <w:rFonts w:cstheme="minorHAnsi"/>
            <w:lang w:val="en"/>
          </w:rPr>
          <w:t>http://www.agriculture.gov.au/biosecurity/partnerships/nbc/intergovernmental-agreement-on-biosecurity/igabreview#final-report</w:t>
        </w:r>
      </w:hyperlink>
      <w:r w:rsidR="00416B76" w:rsidRPr="00E20D99">
        <w:rPr>
          <w:rFonts w:cstheme="minorHAnsi"/>
          <w:lang w:val="en"/>
        </w:rPr>
        <w:t>).</w:t>
      </w:r>
      <w:r w:rsidR="002D42FA" w:rsidRPr="00E20D99">
        <w:rPr>
          <w:rFonts w:cstheme="minorHAnsi"/>
          <w:lang w:val="en"/>
        </w:rPr>
        <w:t xml:space="preserve"> </w:t>
      </w:r>
      <w:r w:rsidR="00416B76" w:rsidRPr="00E20D99">
        <w:rPr>
          <w:rFonts w:cstheme="minorHAnsi"/>
          <w:lang w:val="en"/>
        </w:rPr>
        <w:t xml:space="preserve">That review </w:t>
      </w:r>
      <w:proofErr w:type="spellStart"/>
      <w:r w:rsidR="00416B76" w:rsidRPr="00E20D99">
        <w:rPr>
          <w:rFonts w:cstheme="minorHAnsi"/>
          <w:lang w:val="en"/>
        </w:rPr>
        <w:t>recognised</w:t>
      </w:r>
      <w:proofErr w:type="spellEnd"/>
      <w:r w:rsidR="00416B76" w:rsidRPr="00E20D99">
        <w:rPr>
          <w:rFonts w:cstheme="minorHAnsi"/>
          <w:lang w:val="en"/>
        </w:rPr>
        <w:t xml:space="preserve"> the dangerously neglected </w:t>
      </w:r>
      <w:r w:rsidR="002D42FA" w:rsidRPr="00E20D99">
        <w:rPr>
          <w:rFonts w:cstheme="minorHAnsi"/>
          <w:lang w:val="en"/>
        </w:rPr>
        <w:t>environmental side of Australia’s past biosecurity arrangements and investment.</w:t>
      </w:r>
      <w:r w:rsidR="00416B76" w:rsidRPr="00E20D99">
        <w:rPr>
          <w:rFonts w:cstheme="minorHAnsi"/>
          <w:lang w:val="en"/>
        </w:rPr>
        <w:t xml:space="preserve"> </w:t>
      </w:r>
      <w:r w:rsidR="002D42FA" w:rsidRPr="00E20D99">
        <w:rPr>
          <w:rFonts w:cstheme="minorHAnsi"/>
          <w:lang w:val="en"/>
        </w:rPr>
        <w:t xml:space="preserve"> </w:t>
      </w:r>
    </w:p>
    <w:p w:rsidR="002F301C" w:rsidRPr="00E20D99" w:rsidRDefault="002F301C" w:rsidP="001F6496">
      <w:pPr>
        <w:spacing w:before="120" w:after="0" w:line="240" w:lineRule="auto"/>
        <w:rPr>
          <w:rFonts w:cstheme="minorHAnsi"/>
          <w:lang w:val="en"/>
        </w:rPr>
      </w:pPr>
      <w:r>
        <w:rPr>
          <w:rFonts w:cstheme="minorHAnsi"/>
          <w:lang w:val="en"/>
        </w:rPr>
        <w:t xml:space="preserve">We welcome this </w:t>
      </w:r>
      <w:r w:rsidR="008A41C3">
        <w:rPr>
          <w:rFonts w:cstheme="minorHAnsi"/>
          <w:lang w:val="en"/>
        </w:rPr>
        <w:t xml:space="preserve">Priority </w:t>
      </w:r>
      <w:r>
        <w:rPr>
          <w:rFonts w:cstheme="minorHAnsi"/>
          <w:lang w:val="en"/>
        </w:rPr>
        <w:t>List as one step in the implementation of the numerous recommendations of that Review that relate to redressing the balance of attention and resourcing of environmental biosecurity.</w:t>
      </w:r>
    </w:p>
    <w:p w:rsidR="00416B76" w:rsidRPr="00E20D99" w:rsidRDefault="00400BFC" w:rsidP="001F6496">
      <w:pPr>
        <w:spacing w:before="120" w:after="0" w:line="240" w:lineRule="auto"/>
        <w:rPr>
          <w:rFonts w:cstheme="minorHAnsi"/>
          <w:lang w:val="en"/>
        </w:rPr>
      </w:pPr>
      <w:r>
        <w:rPr>
          <w:rFonts w:cstheme="minorHAnsi"/>
          <w:lang w:val="en"/>
        </w:rPr>
        <w:t>In that Review, d</w:t>
      </w:r>
      <w:r w:rsidR="002D42FA" w:rsidRPr="00E20D99">
        <w:rPr>
          <w:rFonts w:cstheme="minorHAnsi"/>
          <w:lang w:val="en"/>
        </w:rPr>
        <w:t xml:space="preserve">evelopment of a list of some of the most serious broad-spectrum environmental threats that have not yet arrived in Australia, was recommended as </w:t>
      </w:r>
      <w:r w:rsidR="008A41C3">
        <w:rPr>
          <w:rFonts w:cstheme="minorHAnsi"/>
          <w:lang w:val="en"/>
        </w:rPr>
        <w:t xml:space="preserve">a </w:t>
      </w:r>
      <w:r w:rsidR="002D42FA" w:rsidRPr="008A41C3">
        <w:rPr>
          <w:rFonts w:cstheme="minorHAnsi"/>
          <w:i/>
          <w:lang w:val="en"/>
        </w:rPr>
        <w:t>first step</w:t>
      </w:r>
      <w:r w:rsidR="002D42FA" w:rsidRPr="00E20D99">
        <w:rPr>
          <w:rFonts w:cstheme="minorHAnsi"/>
          <w:lang w:val="en"/>
        </w:rPr>
        <w:t xml:space="preserve"> towards improved prevention-of-arrival biosecurity and preparedness if they do arrive.  The Craik Review also recommended development of </w:t>
      </w:r>
      <w:r w:rsidR="002D42FA" w:rsidRPr="00400BFC">
        <w:rPr>
          <w:rFonts w:cstheme="minorHAnsi"/>
          <w:b/>
          <w:lang w:val="en"/>
        </w:rPr>
        <w:t>action plans</w:t>
      </w:r>
      <w:r w:rsidR="002D42FA" w:rsidRPr="00E20D99">
        <w:rPr>
          <w:rFonts w:cstheme="minorHAnsi"/>
          <w:lang w:val="en"/>
        </w:rPr>
        <w:t xml:space="preserve"> for these organisms – mechanisms for this </w:t>
      </w:r>
      <w:r w:rsidR="00A7725A" w:rsidRPr="00E20D99">
        <w:rPr>
          <w:rFonts w:cstheme="minorHAnsi"/>
          <w:lang w:val="en"/>
        </w:rPr>
        <w:t xml:space="preserve">next </w:t>
      </w:r>
      <w:r w:rsidR="002D42FA" w:rsidRPr="00E20D99">
        <w:rPr>
          <w:rFonts w:cstheme="minorHAnsi"/>
          <w:lang w:val="en"/>
        </w:rPr>
        <w:t xml:space="preserve">step have not yet been announced by </w:t>
      </w:r>
      <w:r>
        <w:rPr>
          <w:rFonts w:cstheme="minorHAnsi"/>
          <w:lang w:val="en"/>
        </w:rPr>
        <w:t>the Department of Agriculture (</w:t>
      </w:r>
      <w:r w:rsidR="002D42FA" w:rsidRPr="00E20D99">
        <w:rPr>
          <w:rFonts w:cstheme="minorHAnsi"/>
          <w:lang w:val="en"/>
        </w:rPr>
        <w:t>DA</w:t>
      </w:r>
      <w:r>
        <w:rPr>
          <w:rFonts w:cstheme="minorHAnsi"/>
          <w:lang w:val="en"/>
        </w:rPr>
        <w:t>)</w:t>
      </w:r>
      <w:r w:rsidR="00DD7C90">
        <w:rPr>
          <w:rFonts w:cstheme="minorHAnsi"/>
          <w:lang w:val="en"/>
        </w:rPr>
        <w:t xml:space="preserve"> or the Office of the Australian Chief Environmental Biosecurity Officer (ACEBO)</w:t>
      </w:r>
      <w:r w:rsidR="002D42FA" w:rsidRPr="00E20D99">
        <w:rPr>
          <w:rFonts w:cstheme="minorHAnsi"/>
          <w:lang w:val="en"/>
        </w:rPr>
        <w:t xml:space="preserve">. </w:t>
      </w:r>
    </w:p>
    <w:p w:rsidR="00A7725A" w:rsidRDefault="00A7725A" w:rsidP="001F6496">
      <w:pPr>
        <w:spacing w:before="120" w:after="0" w:line="240" w:lineRule="auto"/>
        <w:rPr>
          <w:rFonts w:cstheme="minorHAnsi"/>
          <w:lang w:val="en"/>
        </w:rPr>
      </w:pPr>
      <w:r w:rsidRPr="00E20D99">
        <w:rPr>
          <w:rFonts w:cstheme="minorHAnsi"/>
          <w:lang w:val="en"/>
        </w:rPr>
        <w:t>One of the overarching recommendations of the Craik Review was that the environmental sector – government and non-government – needs to be much more involved in biosecurity planning and execution; to date these rest very largely with the primary industry agencies and the agricultural sector.</w:t>
      </w:r>
      <w:r w:rsidR="008A41C3">
        <w:rPr>
          <w:rFonts w:cstheme="minorHAnsi"/>
          <w:lang w:val="en"/>
        </w:rPr>
        <w:t xml:space="preserve">  How the Priority List is promulgated, and how the downstream actions from it are resourced and executed, will have a great effect of </w:t>
      </w:r>
      <w:proofErr w:type="gramStart"/>
      <w:r w:rsidR="008A41C3">
        <w:rPr>
          <w:rFonts w:cstheme="minorHAnsi"/>
          <w:lang w:val="en"/>
        </w:rPr>
        <w:t>whether or not</w:t>
      </w:r>
      <w:proofErr w:type="gramEnd"/>
      <w:r w:rsidR="008A41C3">
        <w:rPr>
          <w:rFonts w:cstheme="minorHAnsi"/>
          <w:lang w:val="en"/>
        </w:rPr>
        <w:t xml:space="preserve"> that overarching recommendation is </w:t>
      </w:r>
      <w:proofErr w:type="spellStart"/>
      <w:r w:rsidR="008A41C3">
        <w:rPr>
          <w:rFonts w:cstheme="minorHAnsi"/>
          <w:lang w:val="en"/>
        </w:rPr>
        <w:t>realised</w:t>
      </w:r>
      <w:proofErr w:type="spellEnd"/>
      <w:r w:rsidR="008A41C3">
        <w:rPr>
          <w:rFonts w:cstheme="minorHAnsi"/>
          <w:lang w:val="en"/>
        </w:rPr>
        <w:t>.</w:t>
      </w:r>
    </w:p>
    <w:p w:rsidR="00A7725A" w:rsidRPr="00E20D99" w:rsidRDefault="002F301C" w:rsidP="002F301C">
      <w:pPr>
        <w:spacing w:before="120" w:after="0" w:line="240" w:lineRule="auto"/>
        <w:rPr>
          <w:rFonts w:cstheme="minorHAnsi"/>
          <w:lang w:val="en"/>
        </w:rPr>
      </w:pPr>
      <w:r>
        <w:rPr>
          <w:rFonts w:cstheme="minorHAnsi"/>
          <w:lang w:val="en"/>
        </w:rPr>
        <w:t xml:space="preserve">The Interim List relates to the ANPC’s work particularly </w:t>
      </w:r>
      <w:r w:rsidR="008A41C3">
        <w:rPr>
          <w:rFonts w:cstheme="minorHAnsi"/>
          <w:lang w:val="en"/>
        </w:rPr>
        <w:t xml:space="preserve">through </w:t>
      </w:r>
      <w:r>
        <w:rPr>
          <w:rFonts w:cstheme="minorHAnsi"/>
          <w:lang w:val="en"/>
        </w:rPr>
        <w:t xml:space="preserve">the categories of </w:t>
      </w:r>
      <w:hyperlink r:id="rId8" w:tgtFrame="_blank" w:history="1">
        <w:r w:rsidR="00A7725A" w:rsidRPr="002F301C">
          <w:rPr>
            <w:rStyle w:val="Hyperlink"/>
            <w:rFonts w:cstheme="minorHAnsi"/>
            <w:i/>
            <w:color w:val="auto"/>
            <w:u w:val="none"/>
            <w:lang w:val="en"/>
          </w:rPr>
          <w:t>Plant diseases and their pathogens</w:t>
        </w:r>
      </w:hyperlink>
      <w:r w:rsidR="00A7725A" w:rsidRPr="00E20D99">
        <w:rPr>
          <w:rFonts w:cstheme="minorHAnsi"/>
          <w:lang w:val="en"/>
        </w:rPr>
        <w:t xml:space="preserve"> </w:t>
      </w:r>
      <w:r>
        <w:rPr>
          <w:rFonts w:cstheme="minorHAnsi"/>
          <w:lang w:val="en"/>
        </w:rPr>
        <w:t xml:space="preserve">and </w:t>
      </w:r>
      <w:hyperlink r:id="rId9" w:tgtFrame="_blank" w:history="1">
        <w:r w:rsidR="00A7725A" w:rsidRPr="002F301C">
          <w:rPr>
            <w:rStyle w:val="Hyperlink"/>
            <w:rFonts w:cstheme="minorHAnsi"/>
            <w:i/>
            <w:color w:val="auto"/>
            <w:u w:val="none"/>
            <w:lang w:val="en"/>
          </w:rPr>
          <w:t>Weeds and freshwater algae</w:t>
        </w:r>
      </w:hyperlink>
      <w:r>
        <w:rPr>
          <w:rStyle w:val="Hyperlink"/>
          <w:rFonts w:cstheme="minorHAnsi"/>
          <w:color w:val="auto"/>
          <w:u w:val="none"/>
          <w:lang w:val="en"/>
        </w:rPr>
        <w:t xml:space="preserve">.  We do however regard the entire list as important, as biodiversity conservation needs to be approached holistically, and some of the animal pests and diseases are also directly or indirectly </w:t>
      </w:r>
      <w:r>
        <w:rPr>
          <w:rFonts w:cstheme="minorHAnsi"/>
          <w:lang w:val="en"/>
        </w:rPr>
        <w:t xml:space="preserve">relevant to our area of focus (e.g. </w:t>
      </w:r>
      <w:r>
        <w:rPr>
          <w:rFonts w:cstheme="minorHAnsi"/>
        </w:rPr>
        <w:t>Asian Gypsy Moth).</w:t>
      </w:r>
    </w:p>
    <w:p w:rsidR="00A7725A" w:rsidRDefault="00A7725A" w:rsidP="001F6496">
      <w:pPr>
        <w:spacing w:after="0" w:line="240" w:lineRule="auto"/>
        <w:rPr>
          <w:rFonts w:cstheme="minorHAnsi"/>
          <w:lang w:val="en"/>
        </w:rPr>
      </w:pPr>
    </w:p>
    <w:p w:rsidR="00D1692E" w:rsidRPr="00D1692E" w:rsidRDefault="00D1692E" w:rsidP="00D1692E">
      <w:pPr>
        <w:spacing w:after="0" w:line="240" w:lineRule="auto"/>
        <w:rPr>
          <w:rFonts w:cstheme="minorHAnsi"/>
          <w:lang w:val="en"/>
        </w:rPr>
      </w:pPr>
      <w:r w:rsidRPr="00832FA7">
        <w:rPr>
          <w:rFonts w:cstheme="minorHAnsi"/>
          <w:b/>
          <w:lang w:val="en"/>
        </w:rPr>
        <w:t>Preliminary comment re process</w:t>
      </w:r>
      <w:r>
        <w:rPr>
          <w:rFonts w:cstheme="minorHAnsi"/>
          <w:lang w:val="en"/>
        </w:rPr>
        <w:t>:</w:t>
      </w:r>
    </w:p>
    <w:p w:rsidR="00D1692E" w:rsidRDefault="00D1692E" w:rsidP="00D1692E">
      <w:pPr>
        <w:pStyle w:val="ListParagraph"/>
        <w:numPr>
          <w:ilvl w:val="0"/>
          <w:numId w:val="5"/>
        </w:numPr>
        <w:spacing w:before="120" w:after="0" w:line="240" w:lineRule="auto"/>
        <w:rPr>
          <w:rFonts w:cstheme="minorHAnsi"/>
        </w:rPr>
      </w:pPr>
      <w:r w:rsidRPr="00832FA7">
        <w:rPr>
          <w:rFonts w:cstheme="minorHAnsi"/>
          <w:b/>
        </w:rPr>
        <w:t>We note the short consultation period (1 month)</w:t>
      </w:r>
      <w:r>
        <w:rPr>
          <w:rFonts w:cstheme="minorHAnsi"/>
        </w:rPr>
        <w:t xml:space="preserve">. While often standard for Government consultations, we advise that this is generally too short a period for NGOs (and sometimes agencies) to generate optimal submissions and engage their membership/staff widely in the process (noting that a widening of engagement by the environmental sector is one of the ACEBO’s aims).  The non-government parts of the environment sector, more than the agricultural sectors that DA is used to, is made up of many NGOs, many of them small, with dispersed memberships, few staff, and a heavy reliance on personal volunteered time. Even the agency component of the environmental sector is, as the Craik Review noted, poorly engaged with biosecurity issues, and in fostering greater engagement </w:t>
      </w:r>
      <w:r w:rsidR="00832FA7">
        <w:rPr>
          <w:rFonts w:cstheme="minorHAnsi"/>
        </w:rPr>
        <w:t xml:space="preserve">by and with these </w:t>
      </w:r>
      <w:r w:rsidR="00832FA7">
        <w:rPr>
          <w:rFonts w:cstheme="minorHAnsi"/>
        </w:rPr>
        <w:lastRenderedPageBreak/>
        <w:t xml:space="preserve">agencies and NGOs, </w:t>
      </w:r>
      <w:r>
        <w:rPr>
          <w:rFonts w:cstheme="minorHAnsi"/>
        </w:rPr>
        <w:t xml:space="preserve">DA </w:t>
      </w:r>
      <w:r w:rsidR="00832FA7">
        <w:rPr>
          <w:rFonts w:cstheme="minorHAnsi"/>
        </w:rPr>
        <w:t xml:space="preserve">and the ACEBO’s Office </w:t>
      </w:r>
      <w:r>
        <w:rPr>
          <w:rFonts w:cstheme="minorHAnsi"/>
        </w:rPr>
        <w:t>woul</w:t>
      </w:r>
      <w:r w:rsidR="00832FA7">
        <w:rPr>
          <w:rFonts w:cstheme="minorHAnsi"/>
        </w:rPr>
        <w:t>d be well advised to allow l</w:t>
      </w:r>
      <w:r>
        <w:rPr>
          <w:rFonts w:cstheme="minorHAnsi"/>
        </w:rPr>
        <w:t>onger (6-8 week) lead times for consultations</w:t>
      </w:r>
      <w:r w:rsidR="00832FA7">
        <w:rPr>
          <w:rFonts w:cstheme="minorHAnsi"/>
        </w:rPr>
        <w:t>.</w:t>
      </w:r>
    </w:p>
    <w:p w:rsidR="00D1692E" w:rsidRPr="00832FA7" w:rsidRDefault="00D1692E" w:rsidP="00832FA7">
      <w:pPr>
        <w:spacing w:before="120" w:after="0" w:line="240" w:lineRule="auto"/>
        <w:rPr>
          <w:rFonts w:cstheme="minorHAnsi"/>
        </w:rPr>
      </w:pPr>
    </w:p>
    <w:p w:rsidR="00D1692E" w:rsidRDefault="00832FA7" w:rsidP="001F6496">
      <w:pPr>
        <w:spacing w:after="0" w:line="240" w:lineRule="auto"/>
        <w:rPr>
          <w:rFonts w:cstheme="minorHAnsi"/>
          <w:lang w:val="en"/>
        </w:rPr>
      </w:pPr>
      <w:r w:rsidRPr="00832FA7">
        <w:rPr>
          <w:rFonts w:cstheme="minorHAnsi"/>
          <w:b/>
          <w:lang w:val="en"/>
        </w:rPr>
        <w:t xml:space="preserve">Specific </w:t>
      </w:r>
      <w:r w:rsidR="00D1692E" w:rsidRPr="00832FA7">
        <w:rPr>
          <w:rFonts w:cstheme="minorHAnsi"/>
          <w:b/>
          <w:lang w:val="en"/>
        </w:rPr>
        <w:t>comments</w:t>
      </w:r>
      <w:r w:rsidRPr="00832FA7">
        <w:rPr>
          <w:rFonts w:cstheme="minorHAnsi"/>
          <w:b/>
          <w:lang w:val="en"/>
        </w:rPr>
        <w:t xml:space="preserve"> on the List</w:t>
      </w:r>
      <w:r w:rsidR="00D1692E">
        <w:rPr>
          <w:rFonts w:cstheme="minorHAnsi"/>
          <w:lang w:val="en"/>
        </w:rPr>
        <w:t>:</w:t>
      </w:r>
    </w:p>
    <w:p w:rsidR="00D1692E" w:rsidRPr="00E20D99" w:rsidRDefault="00D1692E" w:rsidP="001F6496">
      <w:pPr>
        <w:spacing w:after="0" w:line="240" w:lineRule="auto"/>
        <w:rPr>
          <w:rFonts w:cstheme="minorHAnsi"/>
          <w:lang w:val="en"/>
        </w:rPr>
      </w:pPr>
    </w:p>
    <w:p w:rsidR="002F301C" w:rsidRDefault="002F301C" w:rsidP="00D1692E">
      <w:pPr>
        <w:pStyle w:val="ListParagraph"/>
        <w:numPr>
          <w:ilvl w:val="0"/>
          <w:numId w:val="8"/>
        </w:numPr>
        <w:spacing w:before="120" w:after="0" w:line="240" w:lineRule="auto"/>
        <w:rPr>
          <w:rFonts w:cstheme="minorHAnsi"/>
        </w:rPr>
      </w:pPr>
      <w:r w:rsidRPr="00D1692E">
        <w:rPr>
          <w:rFonts w:cstheme="minorHAnsi"/>
          <w:b/>
        </w:rPr>
        <w:t>We endorse the list overall</w:t>
      </w:r>
      <w:r w:rsidRPr="00D1692E">
        <w:rPr>
          <w:rFonts w:cstheme="minorHAnsi"/>
        </w:rPr>
        <w:t xml:space="preserve">.  </w:t>
      </w:r>
    </w:p>
    <w:p w:rsidR="00832FA7" w:rsidRDefault="00832FA7" w:rsidP="00832FA7">
      <w:pPr>
        <w:pStyle w:val="ListParagraph"/>
        <w:spacing w:before="120" w:after="0" w:line="240" w:lineRule="auto"/>
        <w:rPr>
          <w:rFonts w:cstheme="minorHAnsi"/>
        </w:rPr>
      </w:pPr>
    </w:p>
    <w:p w:rsidR="00E20D99" w:rsidRPr="00832FA7" w:rsidRDefault="00832FA7" w:rsidP="00E91835">
      <w:pPr>
        <w:pStyle w:val="ListParagraph"/>
        <w:numPr>
          <w:ilvl w:val="0"/>
          <w:numId w:val="8"/>
        </w:numPr>
        <w:autoSpaceDE w:val="0"/>
        <w:autoSpaceDN w:val="0"/>
        <w:adjustRightInd w:val="0"/>
        <w:spacing w:before="120" w:after="0" w:line="240" w:lineRule="auto"/>
        <w:rPr>
          <w:rFonts w:cstheme="minorHAnsi"/>
          <w:b/>
          <w:bCs/>
        </w:rPr>
      </w:pPr>
      <w:r w:rsidRPr="00832FA7">
        <w:rPr>
          <w:rFonts w:cstheme="minorHAnsi"/>
          <w:b/>
        </w:rPr>
        <w:t xml:space="preserve">We endorse the content of the </w:t>
      </w:r>
      <w:r w:rsidR="00E20D99" w:rsidRPr="00832FA7">
        <w:rPr>
          <w:rFonts w:cstheme="minorHAnsi"/>
          <w:b/>
          <w:bCs/>
          <w:i/>
        </w:rPr>
        <w:t>Plant diseases and their pathogens</w:t>
      </w:r>
      <w:r w:rsidR="00E20D99" w:rsidRPr="00832FA7">
        <w:rPr>
          <w:rFonts w:cstheme="minorHAnsi"/>
          <w:b/>
          <w:bCs/>
        </w:rPr>
        <w:t xml:space="preserve"> category</w:t>
      </w:r>
      <w:r w:rsidR="00E20D99" w:rsidRPr="00832FA7">
        <w:rPr>
          <w:rFonts w:cstheme="minorHAnsi"/>
          <w:bCs/>
        </w:rPr>
        <w:t>:</w:t>
      </w:r>
    </w:p>
    <w:p w:rsidR="00E20D99" w:rsidRPr="00E20D99" w:rsidRDefault="00E20D99" w:rsidP="00832FA7">
      <w:pPr>
        <w:pStyle w:val="ListParagraph"/>
        <w:numPr>
          <w:ilvl w:val="1"/>
          <w:numId w:val="8"/>
        </w:numPr>
        <w:autoSpaceDE w:val="0"/>
        <w:autoSpaceDN w:val="0"/>
        <w:adjustRightInd w:val="0"/>
        <w:spacing w:after="0" w:line="240" w:lineRule="auto"/>
        <w:rPr>
          <w:rFonts w:cstheme="minorHAnsi"/>
        </w:rPr>
      </w:pPr>
      <w:r w:rsidRPr="00E20D99">
        <w:rPr>
          <w:rFonts w:cstheme="minorHAnsi"/>
        </w:rPr>
        <w:t>Ceratocystis wilt (</w:t>
      </w:r>
      <w:r w:rsidRPr="00E20D99">
        <w:rPr>
          <w:rFonts w:cstheme="minorHAnsi"/>
          <w:i/>
          <w:iCs/>
        </w:rPr>
        <w:t xml:space="preserve">Ceratocystis </w:t>
      </w:r>
      <w:proofErr w:type="spellStart"/>
      <w:r w:rsidRPr="00E20D99">
        <w:rPr>
          <w:rFonts w:cstheme="minorHAnsi"/>
          <w:i/>
          <w:iCs/>
        </w:rPr>
        <w:t>manginecans</w:t>
      </w:r>
      <w:proofErr w:type="spellEnd"/>
      <w:r w:rsidRPr="00E20D99">
        <w:rPr>
          <w:rFonts w:cstheme="minorHAnsi"/>
          <w:i/>
          <w:iCs/>
        </w:rPr>
        <w:t xml:space="preserve"> </w:t>
      </w:r>
      <w:r w:rsidRPr="00E20D99">
        <w:rPr>
          <w:rFonts w:cstheme="minorHAnsi"/>
        </w:rPr>
        <w:t xml:space="preserve">and </w:t>
      </w:r>
      <w:proofErr w:type="gramStart"/>
      <w:r w:rsidRPr="00E20D99">
        <w:rPr>
          <w:rFonts w:cstheme="minorHAnsi"/>
        </w:rPr>
        <w:t>other</w:t>
      </w:r>
      <w:proofErr w:type="gramEnd"/>
      <w:r w:rsidRPr="00E20D99">
        <w:rPr>
          <w:rFonts w:cstheme="minorHAnsi"/>
        </w:rPr>
        <w:t xml:space="preserve"> exotic </w:t>
      </w:r>
      <w:r w:rsidRPr="00E20D99">
        <w:rPr>
          <w:rFonts w:cstheme="minorHAnsi"/>
          <w:i/>
          <w:iCs/>
        </w:rPr>
        <w:t xml:space="preserve">Ceratocystis </w:t>
      </w:r>
      <w:r w:rsidRPr="00E20D99">
        <w:rPr>
          <w:rFonts w:cstheme="minorHAnsi"/>
        </w:rPr>
        <w:t>spp.)</w:t>
      </w:r>
    </w:p>
    <w:p w:rsidR="00E20D99" w:rsidRPr="00E20D99" w:rsidRDefault="00E20D99" w:rsidP="00832FA7">
      <w:pPr>
        <w:pStyle w:val="ListParagraph"/>
        <w:numPr>
          <w:ilvl w:val="1"/>
          <w:numId w:val="8"/>
        </w:numPr>
        <w:autoSpaceDE w:val="0"/>
        <w:autoSpaceDN w:val="0"/>
        <w:adjustRightInd w:val="0"/>
        <w:spacing w:after="0" w:line="240" w:lineRule="auto"/>
        <w:rPr>
          <w:rFonts w:cstheme="minorHAnsi"/>
        </w:rPr>
      </w:pPr>
      <w:r w:rsidRPr="00E20D99">
        <w:rPr>
          <w:rFonts w:cstheme="minorHAnsi"/>
        </w:rPr>
        <w:t>Exotic strains of myrtle rust (</w:t>
      </w:r>
      <w:proofErr w:type="spellStart"/>
      <w:r w:rsidRPr="00E20D99">
        <w:rPr>
          <w:rFonts w:cstheme="minorHAnsi"/>
          <w:i/>
          <w:iCs/>
        </w:rPr>
        <w:t>Austropuccinia</w:t>
      </w:r>
      <w:proofErr w:type="spellEnd"/>
      <w:r w:rsidRPr="00E20D99">
        <w:rPr>
          <w:rFonts w:cstheme="minorHAnsi"/>
          <w:i/>
          <w:iCs/>
        </w:rPr>
        <w:t xml:space="preserve"> </w:t>
      </w:r>
      <w:proofErr w:type="spellStart"/>
      <w:r w:rsidRPr="00E20D99">
        <w:rPr>
          <w:rFonts w:cstheme="minorHAnsi"/>
          <w:i/>
          <w:iCs/>
        </w:rPr>
        <w:t>psidii</w:t>
      </w:r>
      <w:proofErr w:type="spellEnd"/>
      <w:r w:rsidRPr="00E20D99">
        <w:rPr>
          <w:rFonts w:cstheme="minorHAnsi"/>
        </w:rPr>
        <w:t>)</w:t>
      </w:r>
    </w:p>
    <w:p w:rsidR="00E20D99" w:rsidRPr="00E20D99" w:rsidRDefault="00E20D99" w:rsidP="00832FA7">
      <w:pPr>
        <w:pStyle w:val="ListParagraph"/>
        <w:numPr>
          <w:ilvl w:val="1"/>
          <w:numId w:val="8"/>
        </w:numPr>
        <w:autoSpaceDE w:val="0"/>
        <w:autoSpaceDN w:val="0"/>
        <w:adjustRightInd w:val="0"/>
        <w:spacing w:after="0" w:line="240" w:lineRule="auto"/>
        <w:rPr>
          <w:rFonts w:cstheme="minorHAnsi"/>
        </w:rPr>
      </w:pPr>
      <w:r w:rsidRPr="00E20D99">
        <w:rPr>
          <w:rFonts w:cstheme="minorHAnsi"/>
        </w:rPr>
        <w:t>Polyphagous shot hole borer associated fusarium wilt (</w:t>
      </w:r>
      <w:r w:rsidRPr="00E20D99">
        <w:rPr>
          <w:rFonts w:cstheme="minorHAnsi"/>
          <w:i/>
          <w:iCs/>
        </w:rPr>
        <w:t xml:space="preserve">Fusarium </w:t>
      </w:r>
      <w:proofErr w:type="spellStart"/>
      <w:r w:rsidRPr="00E20D99">
        <w:rPr>
          <w:rFonts w:cstheme="minorHAnsi"/>
          <w:i/>
          <w:iCs/>
        </w:rPr>
        <w:t>euwallaceae</w:t>
      </w:r>
      <w:proofErr w:type="spellEnd"/>
      <w:r w:rsidRPr="00E20D99">
        <w:rPr>
          <w:rFonts w:cstheme="minorHAnsi"/>
        </w:rPr>
        <w:t>)</w:t>
      </w:r>
    </w:p>
    <w:p w:rsidR="00E20D99" w:rsidRPr="00E20D99" w:rsidRDefault="00E20D99" w:rsidP="00832FA7">
      <w:pPr>
        <w:pStyle w:val="ListParagraph"/>
        <w:numPr>
          <w:ilvl w:val="1"/>
          <w:numId w:val="8"/>
        </w:numPr>
        <w:autoSpaceDE w:val="0"/>
        <w:autoSpaceDN w:val="0"/>
        <w:adjustRightInd w:val="0"/>
        <w:spacing w:after="0" w:line="240" w:lineRule="auto"/>
        <w:rPr>
          <w:rFonts w:cstheme="minorHAnsi"/>
          <w:i/>
          <w:iCs/>
        </w:rPr>
      </w:pPr>
      <w:proofErr w:type="spellStart"/>
      <w:r w:rsidRPr="00E20D99">
        <w:rPr>
          <w:rFonts w:cstheme="minorHAnsi"/>
        </w:rPr>
        <w:t>Ramorum</w:t>
      </w:r>
      <w:proofErr w:type="spellEnd"/>
      <w:r w:rsidRPr="00E20D99">
        <w:rPr>
          <w:rFonts w:cstheme="minorHAnsi"/>
        </w:rPr>
        <w:t xml:space="preserve"> shoot dieback and leaf blight (</w:t>
      </w:r>
      <w:r w:rsidRPr="00E20D99">
        <w:rPr>
          <w:rFonts w:cstheme="minorHAnsi"/>
          <w:i/>
          <w:iCs/>
        </w:rPr>
        <w:t xml:space="preserve">Phytophthora </w:t>
      </w:r>
      <w:proofErr w:type="spellStart"/>
      <w:r w:rsidRPr="00E20D99">
        <w:rPr>
          <w:rFonts w:cstheme="minorHAnsi"/>
          <w:i/>
          <w:iCs/>
        </w:rPr>
        <w:t>ramorum</w:t>
      </w:r>
      <w:proofErr w:type="spellEnd"/>
      <w:r w:rsidRPr="00E20D99">
        <w:rPr>
          <w:rFonts w:cstheme="minorHAnsi"/>
        </w:rPr>
        <w:t>)</w:t>
      </w:r>
    </w:p>
    <w:p w:rsidR="00E20D99" w:rsidRPr="00E20D99" w:rsidRDefault="00E20D99" w:rsidP="00832FA7">
      <w:pPr>
        <w:pStyle w:val="ListParagraph"/>
        <w:numPr>
          <w:ilvl w:val="1"/>
          <w:numId w:val="8"/>
        </w:numPr>
        <w:autoSpaceDE w:val="0"/>
        <w:autoSpaceDN w:val="0"/>
        <w:adjustRightInd w:val="0"/>
        <w:spacing w:after="0" w:line="240" w:lineRule="auto"/>
        <w:rPr>
          <w:rFonts w:cstheme="minorHAnsi"/>
          <w:i/>
          <w:iCs/>
        </w:rPr>
      </w:pPr>
      <w:proofErr w:type="spellStart"/>
      <w:r w:rsidRPr="00E20D99">
        <w:rPr>
          <w:rFonts w:cstheme="minorHAnsi"/>
        </w:rPr>
        <w:t>Teratosphaeria</w:t>
      </w:r>
      <w:proofErr w:type="spellEnd"/>
      <w:r w:rsidRPr="00E20D99">
        <w:rPr>
          <w:rFonts w:cstheme="minorHAnsi"/>
        </w:rPr>
        <w:t xml:space="preserve"> leaf blight and canker (</w:t>
      </w:r>
      <w:proofErr w:type="spellStart"/>
      <w:r w:rsidRPr="00E20D99">
        <w:rPr>
          <w:rFonts w:cstheme="minorHAnsi"/>
          <w:i/>
          <w:iCs/>
        </w:rPr>
        <w:t>Teratosphaeria</w:t>
      </w:r>
      <w:proofErr w:type="spellEnd"/>
      <w:r w:rsidRPr="00E20D99">
        <w:rPr>
          <w:rFonts w:cstheme="minorHAnsi"/>
          <w:i/>
          <w:iCs/>
        </w:rPr>
        <w:t xml:space="preserve"> </w:t>
      </w:r>
      <w:proofErr w:type="spellStart"/>
      <w:r w:rsidRPr="00E20D99">
        <w:rPr>
          <w:rFonts w:cstheme="minorHAnsi"/>
          <w:i/>
          <w:iCs/>
        </w:rPr>
        <w:t>destructans</w:t>
      </w:r>
      <w:proofErr w:type="spellEnd"/>
      <w:r w:rsidR="001F6496">
        <w:rPr>
          <w:rFonts w:cstheme="minorHAnsi"/>
          <w:i/>
          <w:iCs/>
        </w:rPr>
        <w:t xml:space="preserve">, </w:t>
      </w:r>
      <w:proofErr w:type="spellStart"/>
      <w:r w:rsidRPr="00E20D99">
        <w:rPr>
          <w:rFonts w:cstheme="minorHAnsi"/>
          <w:i/>
          <w:iCs/>
        </w:rPr>
        <w:t>Teratosphaeria</w:t>
      </w:r>
      <w:proofErr w:type="spellEnd"/>
      <w:r w:rsidRPr="00E20D99">
        <w:rPr>
          <w:rFonts w:cstheme="minorHAnsi"/>
          <w:i/>
          <w:iCs/>
        </w:rPr>
        <w:t xml:space="preserve"> </w:t>
      </w:r>
      <w:proofErr w:type="spellStart"/>
      <w:r w:rsidRPr="00E20D99">
        <w:rPr>
          <w:rFonts w:cstheme="minorHAnsi"/>
          <w:i/>
          <w:iCs/>
        </w:rPr>
        <w:t>zuluensis</w:t>
      </w:r>
      <w:proofErr w:type="spellEnd"/>
      <w:r w:rsidRPr="00E20D99">
        <w:rPr>
          <w:rFonts w:cstheme="minorHAnsi"/>
        </w:rPr>
        <w:t>)</w:t>
      </w:r>
    </w:p>
    <w:p w:rsidR="00E20D99" w:rsidRPr="00E20D99" w:rsidRDefault="00E20D99" w:rsidP="00832FA7">
      <w:pPr>
        <w:pStyle w:val="ListParagraph"/>
        <w:numPr>
          <w:ilvl w:val="1"/>
          <w:numId w:val="8"/>
        </w:numPr>
        <w:spacing w:after="0" w:line="240" w:lineRule="auto"/>
        <w:rPr>
          <w:rFonts w:cstheme="minorHAnsi"/>
          <w:lang w:val="en"/>
        </w:rPr>
      </w:pPr>
      <w:r w:rsidRPr="00E20D99">
        <w:rPr>
          <w:rFonts w:cstheme="minorHAnsi"/>
        </w:rPr>
        <w:t>Xylella (</w:t>
      </w:r>
      <w:r w:rsidRPr="00E20D99">
        <w:rPr>
          <w:rFonts w:cstheme="minorHAnsi"/>
          <w:i/>
          <w:iCs/>
        </w:rPr>
        <w:t xml:space="preserve">Xylella </w:t>
      </w:r>
      <w:proofErr w:type="spellStart"/>
      <w:r w:rsidRPr="00E20D99">
        <w:rPr>
          <w:rFonts w:cstheme="minorHAnsi"/>
          <w:i/>
          <w:iCs/>
        </w:rPr>
        <w:t>fastidiosa</w:t>
      </w:r>
      <w:proofErr w:type="spellEnd"/>
      <w:r w:rsidRPr="00E20D99">
        <w:rPr>
          <w:rFonts w:cstheme="minorHAnsi"/>
        </w:rPr>
        <w:t>)</w:t>
      </w:r>
    </w:p>
    <w:p w:rsidR="00416B76" w:rsidRPr="00E20D99" w:rsidRDefault="00416B76" w:rsidP="001F6496">
      <w:pPr>
        <w:spacing w:after="0" w:line="240" w:lineRule="auto"/>
        <w:rPr>
          <w:rFonts w:cstheme="minorHAnsi"/>
        </w:rPr>
      </w:pPr>
    </w:p>
    <w:p w:rsidR="00E20D99" w:rsidRPr="00832FA7" w:rsidRDefault="00832FA7" w:rsidP="00832FA7">
      <w:pPr>
        <w:pStyle w:val="ListParagraph"/>
        <w:numPr>
          <w:ilvl w:val="0"/>
          <w:numId w:val="9"/>
        </w:numPr>
        <w:autoSpaceDE w:val="0"/>
        <w:autoSpaceDN w:val="0"/>
        <w:adjustRightInd w:val="0"/>
        <w:spacing w:after="0" w:line="240" w:lineRule="auto"/>
        <w:rPr>
          <w:rFonts w:cstheme="minorHAnsi"/>
          <w:b/>
          <w:bCs/>
        </w:rPr>
      </w:pPr>
      <w:r w:rsidRPr="00832FA7">
        <w:rPr>
          <w:rFonts w:cstheme="minorHAnsi"/>
          <w:b/>
        </w:rPr>
        <w:t xml:space="preserve">We endorse the </w:t>
      </w:r>
      <w:r>
        <w:rPr>
          <w:rFonts w:cstheme="minorHAnsi"/>
          <w:b/>
        </w:rPr>
        <w:t xml:space="preserve">content of the </w:t>
      </w:r>
      <w:r w:rsidR="00E20D99" w:rsidRPr="00832FA7">
        <w:rPr>
          <w:rFonts w:cstheme="minorHAnsi"/>
          <w:b/>
          <w:bCs/>
          <w:i/>
        </w:rPr>
        <w:t>Weeds and freshwater algae</w:t>
      </w:r>
      <w:r w:rsidR="00E20D99" w:rsidRPr="00832FA7">
        <w:rPr>
          <w:rFonts w:cstheme="minorHAnsi"/>
          <w:b/>
          <w:bCs/>
        </w:rPr>
        <w:t xml:space="preserve"> category</w:t>
      </w:r>
      <w:r w:rsidR="00E20D99" w:rsidRPr="00832FA7">
        <w:rPr>
          <w:rFonts w:cstheme="minorHAnsi"/>
          <w:bCs/>
        </w:rPr>
        <w:t>:</w:t>
      </w:r>
    </w:p>
    <w:p w:rsidR="00E20D99" w:rsidRPr="00E20D99" w:rsidRDefault="00E20D99" w:rsidP="00832FA7">
      <w:pPr>
        <w:pStyle w:val="ListParagraph"/>
        <w:numPr>
          <w:ilvl w:val="0"/>
          <w:numId w:val="10"/>
        </w:numPr>
        <w:autoSpaceDE w:val="0"/>
        <w:autoSpaceDN w:val="0"/>
        <w:adjustRightInd w:val="0"/>
        <w:spacing w:after="0" w:line="240" w:lineRule="auto"/>
        <w:rPr>
          <w:rFonts w:cstheme="minorHAnsi"/>
        </w:rPr>
      </w:pPr>
      <w:r w:rsidRPr="00E20D99">
        <w:rPr>
          <w:rFonts w:cstheme="minorHAnsi"/>
        </w:rPr>
        <w:t>Didymo (</w:t>
      </w:r>
      <w:proofErr w:type="spellStart"/>
      <w:r w:rsidRPr="00E20D99">
        <w:rPr>
          <w:rFonts w:cstheme="minorHAnsi"/>
          <w:i/>
          <w:iCs/>
        </w:rPr>
        <w:t>Didymosphenia</w:t>
      </w:r>
      <w:proofErr w:type="spellEnd"/>
      <w:r w:rsidRPr="00E20D99">
        <w:rPr>
          <w:rFonts w:cstheme="minorHAnsi"/>
          <w:i/>
          <w:iCs/>
        </w:rPr>
        <w:t xml:space="preserve"> </w:t>
      </w:r>
      <w:proofErr w:type="spellStart"/>
      <w:r w:rsidRPr="00E20D99">
        <w:rPr>
          <w:rFonts w:cstheme="minorHAnsi"/>
          <w:i/>
          <w:iCs/>
        </w:rPr>
        <w:t>geminata</w:t>
      </w:r>
      <w:proofErr w:type="spellEnd"/>
      <w:r w:rsidRPr="00E20D99">
        <w:rPr>
          <w:rFonts w:cstheme="minorHAnsi"/>
        </w:rPr>
        <w:t xml:space="preserve"> – the Rock Snot diatom</w:t>
      </w:r>
      <w:r w:rsidR="001F6496">
        <w:rPr>
          <w:rFonts w:cstheme="minorHAnsi"/>
        </w:rPr>
        <w:t>,</w:t>
      </w:r>
      <w:r w:rsidRPr="00E20D99">
        <w:rPr>
          <w:rFonts w:cstheme="minorHAnsi"/>
        </w:rPr>
        <w:t xml:space="preserve"> present in New Zealand)</w:t>
      </w:r>
    </w:p>
    <w:p w:rsidR="00E20D99" w:rsidRPr="00E20D99" w:rsidRDefault="00E20D99" w:rsidP="00832FA7">
      <w:pPr>
        <w:pStyle w:val="ListParagraph"/>
        <w:numPr>
          <w:ilvl w:val="0"/>
          <w:numId w:val="10"/>
        </w:numPr>
        <w:autoSpaceDE w:val="0"/>
        <w:autoSpaceDN w:val="0"/>
        <w:adjustRightInd w:val="0"/>
        <w:spacing w:after="0" w:line="240" w:lineRule="auto"/>
        <w:rPr>
          <w:rFonts w:cstheme="minorHAnsi"/>
        </w:rPr>
      </w:pPr>
      <w:r w:rsidRPr="00E20D99">
        <w:rPr>
          <w:rFonts w:cstheme="minorHAnsi"/>
        </w:rPr>
        <w:t>Manchurian wild rice (</w:t>
      </w:r>
      <w:r w:rsidRPr="00E20D99">
        <w:rPr>
          <w:rFonts w:cstheme="minorHAnsi"/>
          <w:i/>
          <w:iCs/>
        </w:rPr>
        <w:t xml:space="preserve">Zizania </w:t>
      </w:r>
      <w:proofErr w:type="spellStart"/>
      <w:r w:rsidRPr="00E20D99">
        <w:rPr>
          <w:rFonts w:cstheme="minorHAnsi"/>
          <w:i/>
          <w:iCs/>
        </w:rPr>
        <w:t>latifolia</w:t>
      </w:r>
      <w:proofErr w:type="spellEnd"/>
      <w:r w:rsidRPr="00E20D99">
        <w:rPr>
          <w:rFonts w:cstheme="minorHAnsi"/>
        </w:rPr>
        <w:t>)</w:t>
      </w:r>
    </w:p>
    <w:p w:rsidR="00E20D99" w:rsidRPr="00E20D99" w:rsidRDefault="00E20D99" w:rsidP="00832FA7">
      <w:pPr>
        <w:pStyle w:val="ListParagraph"/>
        <w:numPr>
          <w:ilvl w:val="0"/>
          <w:numId w:val="10"/>
        </w:numPr>
        <w:autoSpaceDE w:val="0"/>
        <w:autoSpaceDN w:val="0"/>
        <w:adjustRightInd w:val="0"/>
        <w:spacing w:after="0" w:line="240" w:lineRule="auto"/>
        <w:rPr>
          <w:rFonts w:cstheme="minorHAnsi"/>
        </w:rPr>
      </w:pPr>
      <w:r w:rsidRPr="00E20D99">
        <w:rPr>
          <w:rFonts w:cstheme="minorHAnsi"/>
        </w:rPr>
        <w:t>Mikania (</w:t>
      </w:r>
      <w:r w:rsidRPr="00E20D99">
        <w:rPr>
          <w:rFonts w:cstheme="minorHAnsi"/>
          <w:i/>
          <w:iCs/>
        </w:rPr>
        <w:t xml:space="preserve">Mikania </w:t>
      </w:r>
      <w:proofErr w:type="spellStart"/>
      <w:r w:rsidRPr="00E20D99">
        <w:rPr>
          <w:rFonts w:cstheme="minorHAnsi"/>
          <w:i/>
          <w:iCs/>
        </w:rPr>
        <w:t>micrantha</w:t>
      </w:r>
      <w:proofErr w:type="spellEnd"/>
      <w:r w:rsidRPr="00E20D99">
        <w:rPr>
          <w:rFonts w:cstheme="minorHAnsi"/>
        </w:rPr>
        <w:t>)</w:t>
      </w:r>
    </w:p>
    <w:p w:rsidR="00E20D99" w:rsidRPr="00E20D99" w:rsidRDefault="00E20D99" w:rsidP="00832FA7">
      <w:pPr>
        <w:pStyle w:val="ListParagraph"/>
        <w:numPr>
          <w:ilvl w:val="0"/>
          <w:numId w:val="10"/>
        </w:numPr>
        <w:autoSpaceDE w:val="0"/>
        <w:autoSpaceDN w:val="0"/>
        <w:adjustRightInd w:val="0"/>
        <w:spacing w:after="0" w:line="240" w:lineRule="auto"/>
        <w:rPr>
          <w:rFonts w:cstheme="minorHAnsi"/>
        </w:rPr>
      </w:pPr>
      <w:r w:rsidRPr="00E20D99">
        <w:rPr>
          <w:rFonts w:cstheme="minorHAnsi"/>
        </w:rPr>
        <w:t>Mouse-ear hawkweed (</w:t>
      </w:r>
      <w:proofErr w:type="spellStart"/>
      <w:r w:rsidRPr="00E20D99">
        <w:rPr>
          <w:rFonts w:cstheme="minorHAnsi"/>
          <w:i/>
          <w:iCs/>
        </w:rPr>
        <w:t>Hieracium</w:t>
      </w:r>
      <w:proofErr w:type="spellEnd"/>
      <w:r w:rsidRPr="00E20D99">
        <w:rPr>
          <w:rFonts w:cstheme="minorHAnsi"/>
          <w:i/>
          <w:iCs/>
        </w:rPr>
        <w:t xml:space="preserve"> </w:t>
      </w:r>
      <w:proofErr w:type="spellStart"/>
      <w:r w:rsidRPr="00E20D99">
        <w:rPr>
          <w:rFonts w:cstheme="minorHAnsi"/>
          <w:i/>
          <w:iCs/>
        </w:rPr>
        <w:t>pilosella</w:t>
      </w:r>
      <w:proofErr w:type="spellEnd"/>
      <w:r w:rsidRPr="00E20D99">
        <w:rPr>
          <w:rFonts w:cstheme="minorHAnsi"/>
        </w:rPr>
        <w:t>)</w:t>
      </w:r>
    </w:p>
    <w:p w:rsidR="00E20D99" w:rsidRPr="00E20D99" w:rsidRDefault="00E20D99" w:rsidP="00832FA7">
      <w:pPr>
        <w:pStyle w:val="ListParagraph"/>
        <w:numPr>
          <w:ilvl w:val="0"/>
          <w:numId w:val="10"/>
        </w:numPr>
        <w:spacing w:after="0" w:line="240" w:lineRule="auto"/>
        <w:rPr>
          <w:rFonts w:cstheme="minorHAnsi"/>
        </w:rPr>
      </w:pPr>
      <w:r w:rsidRPr="00E20D99">
        <w:rPr>
          <w:rFonts w:cstheme="minorHAnsi"/>
        </w:rPr>
        <w:t>Spiked pepper (</w:t>
      </w:r>
      <w:r w:rsidRPr="00E20D99">
        <w:rPr>
          <w:rFonts w:cstheme="minorHAnsi"/>
          <w:i/>
          <w:iCs/>
        </w:rPr>
        <w:t xml:space="preserve">Piper </w:t>
      </w:r>
      <w:proofErr w:type="spellStart"/>
      <w:r w:rsidRPr="00E20D99">
        <w:rPr>
          <w:rFonts w:cstheme="minorHAnsi"/>
          <w:i/>
          <w:iCs/>
        </w:rPr>
        <w:t>aduncum</w:t>
      </w:r>
      <w:proofErr w:type="spellEnd"/>
      <w:r w:rsidRPr="00E20D99">
        <w:rPr>
          <w:rFonts w:cstheme="minorHAnsi"/>
        </w:rPr>
        <w:t>)</w:t>
      </w:r>
    </w:p>
    <w:p w:rsidR="002F301C" w:rsidRDefault="002F301C" w:rsidP="00832FA7">
      <w:pPr>
        <w:pStyle w:val="ListParagraph"/>
        <w:numPr>
          <w:ilvl w:val="0"/>
          <w:numId w:val="10"/>
        </w:numPr>
        <w:spacing w:before="120" w:after="0" w:line="240" w:lineRule="auto"/>
        <w:rPr>
          <w:rFonts w:cstheme="minorHAnsi"/>
        </w:rPr>
      </w:pPr>
      <w:r>
        <w:rPr>
          <w:rFonts w:cstheme="minorHAnsi"/>
        </w:rPr>
        <w:t>We endorse the content of the plant diseases and pathogens category.</w:t>
      </w:r>
    </w:p>
    <w:p w:rsidR="002F301C" w:rsidRDefault="002F301C" w:rsidP="00832FA7">
      <w:pPr>
        <w:pStyle w:val="ListParagraph"/>
        <w:numPr>
          <w:ilvl w:val="0"/>
          <w:numId w:val="10"/>
        </w:numPr>
        <w:spacing w:before="120" w:after="0" w:line="240" w:lineRule="auto"/>
        <w:rPr>
          <w:rFonts w:cstheme="minorHAnsi"/>
        </w:rPr>
      </w:pPr>
      <w:r>
        <w:rPr>
          <w:rFonts w:cstheme="minorHAnsi"/>
        </w:rPr>
        <w:t>We endorse the content of the weeds and freshwater algae category.</w:t>
      </w:r>
    </w:p>
    <w:p w:rsidR="00A43367" w:rsidRPr="00832FA7" w:rsidRDefault="00A43367" w:rsidP="00832FA7">
      <w:pPr>
        <w:spacing w:before="120" w:after="0" w:line="240" w:lineRule="auto"/>
        <w:rPr>
          <w:rFonts w:cstheme="minorHAnsi"/>
        </w:rPr>
      </w:pPr>
    </w:p>
    <w:p w:rsidR="00832FA7" w:rsidRDefault="00A43367" w:rsidP="001F6496">
      <w:pPr>
        <w:pStyle w:val="ListParagraph"/>
        <w:numPr>
          <w:ilvl w:val="0"/>
          <w:numId w:val="5"/>
        </w:numPr>
        <w:spacing w:before="120" w:after="0" w:line="240" w:lineRule="auto"/>
        <w:rPr>
          <w:rFonts w:cstheme="minorHAnsi"/>
        </w:rPr>
      </w:pPr>
      <w:r>
        <w:rPr>
          <w:rFonts w:cstheme="minorHAnsi"/>
        </w:rPr>
        <w:t>We n</w:t>
      </w:r>
      <w:r w:rsidR="00F36511">
        <w:rPr>
          <w:rFonts w:cstheme="minorHAnsi"/>
        </w:rPr>
        <w:t xml:space="preserve">ote that both </w:t>
      </w:r>
      <w:r>
        <w:rPr>
          <w:rFonts w:cstheme="minorHAnsi"/>
        </w:rPr>
        <w:t xml:space="preserve">the </w:t>
      </w:r>
      <w:r w:rsidRPr="00A43367">
        <w:rPr>
          <w:rFonts w:cstheme="minorHAnsi"/>
          <w:i/>
        </w:rPr>
        <w:t>plant diseases and pathogens</w:t>
      </w:r>
      <w:r>
        <w:rPr>
          <w:rFonts w:cstheme="minorHAnsi"/>
        </w:rPr>
        <w:t xml:space="preserve"> category and the </w:t>
      </w:r>
      <w:r w:rsidRPr="00A43367">
        <w:rPr>
          <w:rFonts w:cstheme="minorHAnsi"/>
          <w:i/>
        </w:rPr>
        <w:t>weeds and freshwater algae</w:t>
      </w:r>
      <w:r>
        <w:rPr>
          <w:rFonts w:cstheme="minorHAnsi"/>
        </w:rPr>
        <w:t xml:space="preserve"> category </w:t>
      </w:r>
      <w:r w:rsidR="00F36511">
        <w:rPr>
          <w:rFonts w:cstheme="minorHAnsi"/>
        </w:rPr>
        <w:t>could have had numerous other high-impact high-arrival risk organisms included</w:t>
      </w:r>
      <w:r w:rsidR="00832FA7">
        <w:rPr>
          <w:rFonts w:cstheme="minorHAnsi"/>
        </w:rPr>
        <w:t>, and that only about one quarter of the short-listed taxa were included in the final released list, on the basis that this was more ‘bite-sized’ for public awareness raising</w:t>
      </w:r>
      <w:r>
        <w:rPr>
          <w:rFonts w:cstheme="minorHAnsi"/>
        </w:rPr>
        <w:t>.</w:t>
      </w:r>
      <w:r w:rsidR="00832FA7">
        <w:rPr>
          <w:rFonts w:cstheme="minorHAnsi"/>
        </w:rPr>
        <w:t xml:space="preserve"> This is an understandable rationale, but a somewhat artificial one in biological terms. </w:t>
      </w:r>
      <w:r w:rsidR="004779A5">
        <w:rPr>
          <w:rFonts w:cstheme="minorHAnsi"/>
        </w:rPr>
        <w:t xml:space="preserve">Exotic </w:t>
      </w:r>
      <w:proofErr w:type="spellStart"/>
      <w:r w:rsidR="004779A5">
        <w:rPr>
          <w:rFonts w:cstheme="minorHAnsi"/>
        </w:rPr>
        <w:t>invasives</w:t>
      </w:r>
      <w:proofErr w:type="spellEnd"/>
      <w:r w:rsidR="004779A5">
        <w:rPr>
          <w:rFonts w:cstheme="minorHAnsi"/>
        </w:rPr>
        <w:t xml:space="preserve"> are unlikely to form an orderly queue for arrival. </w:t>
      </w:r>
      <w:r w:rsidR="00832FA7">
        <w:rPr>
          <w:rFonts w:cstheme="minorHAnsi"/>
        </w:rPr>
        <w:t xml:space="preserve">Some level of background attention and progress is </w:t>
      </w:r>
      <w:r w:rsidR="008A41C3">
        <w:rPr>
          <w:rFonts w:cstheme="minorHAnsi"/>
        </w:rPr>
        <w:t xml:space="preserve">still </w:t>
      </w:r>
      <w:r w:rsidR="00832FA7">
        <w:rPr>
          <w:rFonts w:cstheme="minorHAnsi"/>
        </w:rPr>
        <w:t xml:space="preserve">needed on those that didn’t make the final cut. </w:t>
      </w:r>
      <w:r>
        <w:rPr>
          <w:rFonts w:cstheme="minorHAnsi"/>
        </w:rPr>
        <w:t xml:space="preserve"> </w:t>
      </w:r>
    </w:p>
    <w:p w:rsidR="004779A5" w:rsidRDefault="004779A5" w:rsidP="004779A5">
      <w:pPr>
        <w:pStyle w:val="ListParagraph"/>
        <w:spacing w:before="120" w:after="0" w:line="240" w:lineRule="auto"/>
        <w:rPr>
          <w:rFonts w:cstheme="minorHAnsi"/>
        </w:rPr>
      </w:pPr>
    </w:p>
    <w:p w:rsidR="002E662E" w:rsidRDefault="00A43367" w:rsidP="004779A5">
      <w:pPr>
        <w:pStyle w:val="ListParagraph"/>
        <w:numPr>
          <w:ilvl w:val="0"/>
          <w:numId w:val="5"/>
        </w:numPr>
        <w:spacing w:before="120" w:after="0" w:line="240" w:lineRule="auto"/>
        <w:rPr>
          <w:rFonts w:cstheme="minorHAnsi"/>
        </w:rPr>
      </w:pPr>
      <w:r>
        <w:rPr>
          <w:rFonts w:cstheme="minorHAnsi"/>
        </w:rPr>
        <w:t xml:space="preserve">We </w:t>
      </w:r>
      <w:r w:rsidR="00F36511">
        <w:rPr>
          <w:rFonts w:cstheme="minorHAnsi"/>
        </w:rPr>
        <w:t xml:space="preserve">note the supporting document’s statement that this </w:t>
      </w:r>
      <w:r>
        <w:rPr>
          <w:rFonts w:cstheme="minorHAnsi"/>
        </w:rPr>
        <w:t xml:space="preserve">Priority List </w:t>
      </w:r>
      <w:r w:rsidR="00F36511">
        <w:rPr>
          <w:rFonts w:cstheme="minorHAnsi"/>
        </w:rPr>
        <w:t xml:space="preserve">will be a </w:t>
      </w:r>
      <w:r>
        <w:rPr>
          <w:rFonts w:cstheme="minorHAnsi"/>
        </w:rPr>
        <w:t>‘</w:t>
      </w:r>
      <w:r w:rsidR="00F36511">
        <w:rPr>
          <w:rFonts w:cstheme="minorHAnsi"/>
        </w:rPr>
        <w:t>living list</w:t>
      </w:r>
      <w:r>
        <w:rPr>
          <w:rFonts w:cstheme="minorHAnsi"/>
        </w:rPr>
        <w:t>’.  It is important to give this real effect</w:t>
      </w:r>
      <w:r w:rsidR="004779A5">
        <w:rPr>
          <w:rFonts w:cstheme="minorHAnsi"/>
        </w:rPr>
        <w:t>. T</w:t>
      </w:r>
      <w:r w:rsidR="00F36511">
        <w:rPr>
          <w:rFonts w:cstheme="minorHAnsi"/>
        </w:rPr>
        <w:t xml:space="preserve">he unintended </w:t>
      </w:r>
      <w:r>
        <w:rPr>
          <w:rFonts w:cstheme="minorHAnsi"/>
        </w:rPr>
        <w:t xml:space="preserve">but very real </w:t>
      </w:r>
      <w:r w:rsidR="00F36511">
        <w:rPr>
          <w:rFonts w:cstheme="minorHAnsi"/>
        </w:rPr>
        <w:t xml:space="preserve">fossilisation of the </w:t>
      </w:r>
      <w:r>
        <w:rPr>
          <w:rFonts w:cstheme="minorHAnsi"/>
        </w:rPr>
        <w:t>Weeds Of National Significance (</w:t>
      </w:r>
      <w:r w:rsidR="00F36511">
        <w:rPr>
          <w:rFonts w:cstheme="minorHAnsi"/>
        </w:rPr>
        <w:t>WONS</w:t>
      </w:r>
      <w:r>
        <w:rPr>
          <w:rFonts w:cstheme="minorHAnsi"/>
        </w:rPr>
        <w:t>)</w:t>
      </w:r>
      <w:r w:rsidR="00F36511">
        <w:rPr>
          <w:rFonts w:cstheme="minorHAnsi"/>
        </w:rPr>
        <w:t xml:space="preserve"> list</w:t>
      </w:r>
      <w:r>
        <w:rPr>
          <w:rFonts w:cstheme="minorHAnsi"/>
        </w:rPr>
        <w:t xml:space="preserve">, and its </w:t>
      </w:r>
      <w:r w:rsidR="004779A5">
        <w:rPr>
          <w:rFonts w:cstheme="minorHAnsi"/>
        </w:rPr>
        <w:t xml:space="preserve">overuse (now over many years) </w:t>
      </w:r>
      <w:r>
        <w:rPr>
          <w:rFonts w:cstheme="minorHAnsi"/>
        </w:rPr>
        <w:t xml:space="preserve">as the default priority list for a wide range of weed control grant schemes, has </w:t>
      </w:r>
      <w:r w:rsidR="004779A5">
        <w:rPr>
          <w:rFonts w:cstheme="minorHAnsi"/>
        </w:rPr>
        <w:t xml:space="preserve">arguably </w:t>
      </w:r>
      <w:r>
        <w:rPr>
          <w:rFonts w:cstheme="minorHAnsi"/>
        </w:rPr>
        <w:t>masked and retarded the need for urgent action</w:t>
      </w:r>
      <w:r w:rsidR="00F36511">
        <w:rPr>
          <w:rFonts w:cstheme="minorHAnsi"/>
        </w:rPr>
        <w:t xml:space="preserve"> </w:t>
      </w:r>
      <w:r>
        <w:rPr>
          <w:rFonts w:cstheme="minorHAnsi"/>
        </w:rPr>
        <w:t xml:space="preserve">on weeds of high regional or habitat significance, and has resulted in </w:t>
      </w:r>
      <w:r w:rsidR="00F36511">
        <w:rPr>
          <w:rFonts w:cstheme="minorHAnsi"/>
        </w:rPr>
        <w:t xml:space="preserve">missed opportunities </w:t>
      </w:r>
      <w:r>
        <w:rPr>
          <w:rFonts w:cstheme="minorHAnsi"/>
        </w:rPr>
        <w:t>for control or even eradication</w:t>
      </w:r>
      <w:r w:rsidR="00F36511">
        <w:rPr>
          <w:rFonts w:cstheme="minorHAnsi"/>
        </w:rPr>
        <w:t>.</w:t>
      </w:r>
      <w:r w:rsidR="004779A5">
        <w:rPr>
          <w:rFonts w:cstheme="minorHAnsi"/>
        </w:rPr>
        <w:t xml:space="preserve">  </w:t>
      </w:r>
      <w:r w:rsidRPr="004779A5">
        <w:rPr>
          <w:rFonts w:cstheme="minorHAnsi"/>
        </w:rPr>
        <w:t xml:space="preserve">The welcome development of the Priority List should not be allowed to similarly mask the importance of narrower-focus environmental </w:t>
      </w:r>
      <w:proofErr w:type="gramStart"/>
      <w:r w:rsidRPr="004779A5">
        <w:rPr>
          <w:rFonts w:cstheme="minorHAnsi"/>
        </w:rPr>
        <w:t>threats, and</w:t>
      </w:r>
      <w:proofErr w:type="gramEnd"/>
      <w:r w:rsidRPr="004779A5">
        <w:rPr>
          <w:rFonts w:cstheme="minorHAnsi"/>
        </w:rPr>
        <w:t xml:space="preserve"> should not over-dominate the communication and education dimensions of the environmental biosecurity space. </w:t>
      </w:r>
      <w:r w:rsidR="002E662E" w:rsidRPr="004779A5">
        <w:rPr>
          <w:rFonts w:cstheme="minorHAnsi"/>
        </w:rPr>
        <w:t xml:space="preserve">  ‘Priority’ does not, or should not, imply the exclusion of other organisms of concern, and a nuanced approach in both education and funding is necessary. </w:t>
      </w:r>
      <w:r w:rsidRPr="004779A5">
        <w:rPr>
          <w:rFonts w:cstheme="minorHAnsi"/>
        </w:rPr>
        <w:t xml:space="preserve">This will require </w:t>
      </w:r>
      <w:r w:rsidR="004779A5">
        <w:rPr>
          <w:rFonts w:cstheme="minorHAnsi"/>
        </w:rPr>
        <w:t xml:space="preserve">informed </w:t>
      </w:r>
      <w:r w:rsidRPr="004779A5">
        <w:rPr>
          <w:rFonts w:cstheme="minorHAnsi"/>
        </w:rPr>
        <w:t xml:space="preserve">handling, and active advice from the ACEBO to funding agencies that while </w:t>
      </w:r>
      <w:r w:rsidR="004779A5">
        <w:rPr>
          <w:rFonts w:cstheme="minorHAnsi"/>
        </w:rPr>
        <w:t xml:space="preserve">strong </w:t>
      </w:r>
      <w:r w:rsidRPr="004779A5">
        <w:rPr>
          <w:rFonts w:cstheme="minorHAnsi"/>
        </w:rPr>
        <w:t>attention to Priority List taxa is desirable, some provision should be retained for research and preparedness work around th</w:t>
      </w:r>
      <w:r w:rsidR="008A41C3">
        <w:rPr>
          <w:rFonts w:cstheme="minorHAnsi"/>
        </w:rPr>
        <w:t xml:space="preserve">e other shortlisted </w:t>
      </w:r>
      <w:r w:rsidR="0079582F" w:rsidRPr="004779A5">
        <w:rPr>
          <w:rFonts w:cstheme="minorHAnsi"/>
        </w:rPr>
        <w:t>organisms, especially where they may serve to more effectively involve parts of the environmental sector.  A case in point is the Kauri Dieback pathogen (</w:t>
      </w:r>
      <w:r w:rsidR="0079582F" w:rsidRPr="004779A5">
        <w:rPr>
          <w:rStyle w:val="e24kjd"/>
          <w:rFonts w:cstheme="minorHAnsi"/>
          <w:i/>
          <w:color w:val="222222"/>
        </w:rPr>
        <w:t xml:space="preserve">Phytophthora </w:t>
      </w:r>
      <w:proofErr w:type="spellStart"/>
      <w:r w:rsidR="0079582F" w:rsidRPr="004779A5">
        <w:rPr>
          <w:rStyle w:val="e24kjd"/>
          <w:rFonts w:cstheme="minorHAnsi"/>
          <w:i/>
          <w:color w:val="222222"/>
        </w:rPr>
        <w:t>agathidicida</w:t>
      </w:r>
      <w:proofErr w:type="spellEnd"/>
      <w:r w:rsidR="0079582F" w:rsidRPr="004779A5">
        <w:rPr>
          <w:rStyle w:val="e24kjd"/>
          <w:rFonts w:cstheme="minorHAnsi"/>
          <w:color w:val="222222"/>
        </w:rPr>
        <w:t xml:space="preserve">), which is of </w:t>
      </w:r>
      <w:proofErr w:type="gramStart"/>
      <w:r w:rsidR="0079582F" w:rsidRPr="004779A5">
        <w:rPr>
          <w:rStyle w:val="e24kjd"/>
          <w:rFonts w:cstheme="minorHAnsi"/>
          <w:color w:val="222222"/>
        </w:rPr>
        <w:t>particular concern</w:t>
      </w:r>
      <w:proofErr w:type="gramEnd"/>
      <w:r w:rsidR="0079582F" w:rsidRPr="004779A5">
        <w:rPr>
          <w:rStyle w:val="e24kjd"/>
          <w:rFonts w:cstheme="minorHAnsi"/>
          <w:color w:val="222222"/>
        </w:rPr>
        <w:t xml:space="preserve"> for its potential conservation and cultural </w:t>
      </w:r>
      <w:r w:rsidR="0079582F" w:rsidRPr="004779A5">
        <w:rPr>
          <w:rFonts w:cstheme="minorHAnsi"/>
        </w:rPr>
        <w:t>impacts in Queensland</w:t>
      </w:r>
      <w:r w:rsidR="002E662E" w:rsidRPr="004779A5">
        <w:rPr>
          <w:rFonts w:cstheme="minorHAnsi"/>
        </w:rPr>
        <w:t xml:space="preserve">. It would nevertheless be a mistake if all awareness and vigilance work for this pathogen were to be left to the Queensland Government as a State matter, given the role that can be played in precautionary awareness by various actors in other States – including the custodians of the many </w:t>
      </w:r>
      <w:r w:rsidR="002E662E" w:rsidRPr="004779A5">
        <w:rPr>
          <w:rFonts w:cstheme="minorHAnsi"/>
          <w:i/>
        </w:rPr>
        <w:t>Agathis</w:t>
      </w:r>
      <w:r w:rsidR="002E662E" w:rsidRPr="004779A5">
        <w:rPr>
          <w:rFonts w:cstheme="minorHAnsi"/>
        </w:rPr>
        <w:t xml:space="preserve"> trees in public and private tenures in centres of high likelihood as points of introduction (metropolitan botanic gardens in the other States being a prime example).</w:t>
      </w:r>
      <w:r w:rsidR="00A15CA6" w:rsidRPr="004779A5">
        <w:rPr>
          <w:rFonts w:cstheme="minorHAnsi"/>
        </w:rPr>
        <w:t xml:space="preserve">  The ABARES (2019) Information paper draws brief attention to this issue (p. 5), but simply treats it as ‘out of scope’ for this list – fair enough, but the potential for the List to over-determine the targets set by funding bodies should be regarded as a real issue requiring nuanced attention.</w:t>
      </w:r>
    </w:p>
    <w:p w:rsidR="004779A5" w:rsidRPr="004779A5" w:rsidRDefault="004779A5" w:rsidP="004779A5">
      <w:pPr>
        <w:pStyle w:val="ListParagraph"/>
        <w:spacing w:before="120" w:after="0" w:line="240" w:lineRule="auto"/>
        <w:rPr>
          <w:rFonts w:cstheme="minorHAnsi"/>
        </w:rPr>
      </w:pPr>
    </w:p>
    <w:p w:rsidR="00F36511" w:rsidRPr="004779A5" w:rsidRDefault="00F36511" w:rsidP="001F6496">
      <w:pPr>
        <w:spacing w:before="120" w:after="0" w:line="240" w:lineRule="auto"/>
        <w:ind w:left="360"/>
        <w:rPr>
          <w:rFonts w:cstheme="minorHAnsi"/>
          <w:b/>
        </w:rPr>
      </w:pPr>
      <w:r w:rsidRPr="004779A5">
        <w:rPr>
          <w:rFonts w:cstheme="minorHAnsi"/>
          <w:b/>
        </w:rPr>
        <w:t>Key issues once the list is finalised:</w:t>
      </w:r>
    </w:p>
    <w:p w:rsidR="00F36511" w:rsidRPr="001F6496" w:rsidRDefault="00F36511" w:rsidP="001F6496">
      <w:pPr>
        <w:spacing w:before="120" w:after="0" w:line="240" w:lineRule="auto"/>
        <w:ind w:firstLine="357"/>
        <w:rPr>
          <w:rFonts w:cstheme="minorHAnsi"/>
        </w:rPr>
      </w:pPr>
      <w:r w:rsidRPr="001F6496">
        <w:rPr>
          <w:rFonts w:cstheme="minorHAnsi"/>
        </w:rPr>
        <w:t xml:space="preserve">What is going to be done about each </w:t>
      </w:r>
      <w:r w:rsidR="004779A5">
        <w:rPr>
          <w:rFonts w:cstheme="minorHAnsi"/>
        </w:rPr>
        <w:t>listed taxon</w:t>
      </w:r>
      <w:r w:rsidRPr="001F6496">
        <w:rPr>
          <w:rFonts w:cstheme="minorHAnsi"/>
        </w:rPr>
        <w:t>?</w:t>
      </w:r>
      <w:r w:rsidR="001F6496" w:rsidRPr="001F6496">
        <w:rPr>
          <w:rFonts w:cstheme="minorHAnsi"/>
        </w:rPr>
        <w:t xml:space="preserve"> </w:t>
      </w:r>
      <w:r w:rsidRPr="001F6496">
        <w:rPr>
          <w:rFonts w:cstheme="minorHAnsi"/>
        </w:rPr>
        <w:t xml:space="preserve">We see </w:t>
      </w:r>
      <w:r w:rsidR="004779A5">
        <w:rPr>
          <w:rFonts w:cstheme="minorHAnsi"/>
        </w:rPr>
        <w:t xml:space="preserve">the </w:t>
      </w:r>
      <w:r w:rsidRPr="001F6496">
        <w:rPr>
          <w:rFonts w:cstheme="minorHAnsi"/>
        </w:rPr>
        <w:t>priorities as:</w:t>
      </w:r>
    </w:p>
    <w:p w:rsidR="00F36511" w:rsidRDefault="00F36511" w:rsidP="001F6496">
      <w:pPr>
        <w:pStyle w:val="ListParagraph"/>
        <w:numPr>
          <w:ilvl w:val="0"/>
          <w:numId w:val="7"/>
        </w:numPr>
        <w:spacing w:before="120" w:after="120" w:line="240" w:lineRule="auto"/>
        <w:ind w:left="714" w:hanging="357"/>
        <w:rPr>
          <w:rFonts w:cstheme="minorHAnsi"/>
        </w:rPr>
      </w:pPr>
      <w:r w:rsidRPr="00484A8F">
        <w:rPr>
          <w:rFonts w:cstheme="minorHAnsi"/>
          <w:i/>
        </w:rPr>
        <w:t>Preparedness Plans</w:t>
      </w:r>
      <w:r>
        <w:rPr>
          <w:rFonts w:cstheme="minorHAnsi"/>
        </w:rPr>
        <w:t xml:space="preserve"> </w:t>
      </w:r>
      <w:r w:rsidR="00484A8F">
        <w:rPr>
          <w:rFonts w:cstheme="minorHAnsi"/>
        </w:rPr>
        <w:t xml:space="preserve">are </w:t>
      </w:r>
      <w:r>
        <w:rPr>
          <w:rFonts w:cstheme="minorHAnsi"/>
        </w:rPr>
        <w:t xml:space="preserve">urgent (action-oriented, not the more in-depth Contingency Plans used in the past – the extra content of these is </w:t>
      </w:r>
      <w:proofErr w:type="gramStart"/>
      <w:r>
        <w:rPr>
          <w:rFonts w:cstheme="minorHAnsi"/>
        </w:rPr>
        <w:t>important</w:t>
      </w:r>
      <w:r w:rsidR="008A41C3">
        <w:rPr>
          <w:rFonts w:cstheme="minorHAnsi"/>
        </w:rPr>
        <w:t>,</w:t>
      </w:r>
      <w:r>
        <w:rPr>
          <w:rFonts w:cstheme="minorHAnsi"/>
        </w:rPr>
        <w:t xml:space="preserve"> but</w:t>
      </w:r>
      <w:proofErr w:type="gramEnd"/>
      <w:r>
        <w:rPr>
          <w:rFonts w:cstheme="minorHAnsi"/>
        </w:rPr>
        <w:t xml:space="preserve"> can be filled in later</w:t>
      </w:r>
      <w:r w:rsidR="00484A8F">
        <w:rPr>
          <w:rFonts w:cstheme="minorHAnsi"/>
        </w:rPr>
        <w:t>)</w:t>
      </w:r>
      <w:r w:rsidR="001F6496">
        <w:rPr>
          <w:rFonts w:cstheme="minorHAnsi"/>
        </w:rPr>
        <w:t>.</w:t>
      </w:r>
    </w:p>
    <w:p w:rsidR="001F6496" w:rsidRDefault="001F6496" w:rsidP="001F6496">
      <w:pPr>
        <w:pStyle w:val="ListParagraph"/>
        <w:spacing w:before="120" w:after="120" w:line="240" w:lineRule="auto"/>
        <w:ind w:left="714"/>
        <w:rPr>
          <w:rFonts w:cstheme="minorHAnsi"/>
        </w:rPr>
      </w:pPr>
    </w:p>
    <w:p w:rsidR="00484A8F" w:rsidRDefault="00484A8F" w:rsidP="001F6496">
      <w:pPr>
        <w:pStyle w:val="ListParagraph"/>
        <w:numPr>
          <w:ilvl w:val="0"/>
          <w:numId w:val="7"/>
        </w:numPr>
        <w:spacing w:before="120" w:after="120" w:line="240" w:lineRule="auto"/>
        <w:ind w:left="714" w:hanging="357"/>
        <w:rPr>
          <w:rFonts w:cstheme="minorHAnsi"/>
        </w:rPr>
      </w:pPr>
      <w:r>
        <w:rPr>
          <w:rFonts w:cstheme="minorHAnsi"/>
        </w:rPr>
        <w:t>Preparedness Plans should have an emphasis on examining relevant systems in place, identifying gaps, and filling them (i.e. resourcing remedies).</w:t>
      </w:r>
    </w:p>
    <w:p w:rsidR="001F6496" w:rsidRDefault="001F6496" w:rsidP="001F6496">
      <w:pPr>
        <w:pStyle w:val="ListParagraph"/>
        <w:spacing w:before="120" w:after="120" w:line="240" w:lineRule="auto"/>
        <w:ind w:left="714"/>
        <w:rPr>
          <w:rFonts w:cstheme="minorHAnsi"/>
        </w:rPr>
      </w:pPr>
    </w:p>
    <w:p w:rsidR="00484A8F" w:rsidRDefault="00484A8F" w:rsidP="001F6496">
      <w:pPr>
        <w:pStyle w:val="ListParagraph"/>
        <w:numPr>
          <w:ilvl w:val="0"/>
          <w:numId w:val="7"/>
        </w:numPr>
        <w:spacing w:before="120" w:after="120" w:line="240" w:lineRule="auto"/>
        <w:ind w:left="714" w:hanging="357"/>
        <w:rPr>
          <w:rFonts w:cstheme="minorHAnsi"/>
        </w:rPr>
      </w:pPr>
      <w:r>
        <w:rPr>
          <w:rFonts w:cstheme="minorHAnsi"/>
        </w:rPr>
        <w:t xml:space="preserve">Critical questions </w:t>
      </w:r>
      <w:r w:rsidR="001F6496">
        <w:rPr>
          <w:rFonts w:cstheme="minorHAnsi"/>
        </w:rPr>
        <w:t xml:space="preserve">for each taxon </w:t>
      </w:r>
      <w:r>
        <w:rPr>
          <w:rFonts w:cstheme="minorHAnsi"/>
        </w:rPr>
        <w:t xml:space="preserve">include: </w:t>
      </w:r>
    </w:p>
    <w:p w:rsidR="00484A8F" w:rsidRDefault="00484A8F" w:rsidP="001F6496">
      <w:pPr>
        <w:pStyle w:val="ListParagraph"/>
        <w:numPr>
          <w:ilvl w:val="1"/>
          <w:numId w:val="7"/>
        </w:numPr>
        <w:spacing w:before="120" w:after="0" w:line="240" w:lineRule="auto"/>
        <w:rPr>
          <w:rFonts w:cstheme="minorHAnsi"/>
        </w:rPr>
      </w:pPr>
      <w:r>
        <w:rPr>
          <w:rFonts w:cstheme="minorHAnsi"/>
        </w:rPr>
        <w:t xml:space="preserve">What arrival pathway analysis is available?  </w:t>
      </w:r>
    </w:p>
    <w:p w:rsidR="00484A8F" w:rsidRDefault="00484A8F" w:rsidP="001F6496">
      <w:pPr>
        <w:pStyle w:val="ListParagraph"/>
        <w:numPr>
          <w:ilvl w:val="1"/>
          <w:numId w:val="7"/>
        </w:numPr>
        <w:spacing w:before="120" w:after="0" w:line="240" w:lineRule="auto"/>
        <w:rPr>
          <w:rFonts w:cstheme="minorHAnsi"/>
        </w:rPr>
      </w:pPr>
      <w:r>
        <w:rPr>
          <w:rFonts w:cstheme="minorHAnsi"/>
        </w:rPr>
        <w:t xml:space="preserve">What specific quarantine measures are in place? </w:t>
      </w:r>
    </w:p>
    <w:p w:rsidR="00F824B1" w:rsidRDefault="00F824B1" w:rsidP="001F6496">
      <w:pPr>
        <w:pStyle w:val="ListParagraph"/>
        <w:numPr>
          <w:ilvl w:val="1"/>
          <w:numId w:val="7"/>
        </w:numPr>
        <w:spacing w:before="120" w:after="0" w:line="240" w:lineRule="auto"/>
        <w:rPr>
          <w:rFonts w:cstheme="minorHAnsi"/>
        </w:rPr>
      </w:pPr>
      <w:r>
        <w:rPr>
          <w:rFonts w:cstheme="minorHAnsi"/>
        </w:rPr>
        <w:t>What pre-arrival monitoring systems are in place in (e.g. sentinel plants for plant pests/diseases).</w:t>
      </w:r>
    </w:p>
    <w:p w:rsidR="00484A8F" w:rsidRDefault="00484A8F" w:rsidP="001F6496">
      <w:pPr>
        <w:pStyle w:val="ListParagraph"/>
        <w:numPr>
          <w:ilvl w:val="1"/>
          <w:numId w:val="7"/>
        </w:numPr>
        <w:spacing w:before="120" w:after="0" w:line="240" w:lineRule="auto"/>
        <w:rPr>
          <w:rFonts w:cstheme="minorHAnsi"/>
        </w:rPr>
      </w:pPr>
      <w:r>
        <w:rPr>
          <w:rFonts w:cstheme="minorHAnsi"/>
        </w:rPr>
        <w:t>Is there a regional (Indo-Pacific, Australasian) system in place for vigilance and exclusion?</w:t>
      </w:r>
    </w:p>
    <w:p w:rsidR="00484A8F" w:rsidRDefault="00484A8F" w:rsidP="001F6496">
      <w:pPr>
        <w:pStyle w:val="ListParagraph"/>
        <w:numPr>
          <w:ilvl w:val="1"/>
          <w:numId w:val="7"/>
        </w:numPr>
        <w:spacing w:before="120" w:after="0" w:line="240" w:lineRule="auto"/>
        <w:rPr>
          <w:rFonts w:cstheme="minorHAnsi"/>
        </w:rPr>
      </w:pPr>
      <w:r>
        <w:rPr>
          <w:rFonts w:cstheme="minorHAnsi"/>
        </w:rPr>
        <w:t xml:space="preserve">What are </w:t>
      </w:r>
      <w:r w:rsidR="004779A5">
        <w:rPr>
          <w:rFonts w:cstheme="minorHAnsi"/>
        </w:rPr>
        <w:t xml:space="preserve">the </w:t>
      </w:r>
      <w:r>
        <w:rPr>
          <w:rFonts w:cstheme="minorHAnsi"/>
        </w:rPr>
        <w:t>eradication and containment options under different arrival scenarios?</w:t>
      </w:r>
    </w:p>
    <w:p w:rsidR="004779A5" w:rsidRDefault="00484A8F" w:rsidP="004779A5">
      <w:pPr>
        <w:pStyle w:val="ListParagraph"/>
        <w:numPr>
          <w:ilvl w:val="1"/>
          <w:numId w:val="7"/>
        </w:numPr>
        <w:spacing w:before="120" w:after="0" w:line="240" w:lineRule="auto"/>
        <w:rPr>
          <w:rFonts w:cstheme="minorHAnsi"/>
        </w:rPr>
      </w:pPr>
      <w:r>
        <w:rPr>
          <w:rFonts w:cstheme="minorHAnsi"/>
        </w:rPr>
        <w:t>What human, physical, and administrative resources are developed and in place relevant to each pest?  (</w:t>
      </w:r>
      <w:r w:rsidRPr="00484A8F">
        <w:rPr>
          <w:rFonts w:cstheme="minorHAnsi"/>
          <w:i/>
        </w:rPr>
        <w:t>Human</w:t>
      </w:r>
      <w:r>
        <w:rPr>
          <w:rFonts w:cstheme="minorHAnsi"/>
        </w:rPr>
        <w:t>: trained individuals in stable positions in each agenc</w:t>
      </w:r>
      <w:r w:rsidR="001F6496">
        <w:rPr>
          <w:rFonts w:cstheme="minorHAnsi"/>
        </w:rPr>
        <w:t>y</w:t>
      </w:r>
      <w:r>
        <w:rPr>
          <w:rFonts w:cstheme="minorHAnsi"/>
        </w:rPr>
        <w:t xml:space="preserve">, familiarised with the threat and response options and procedures.  </w:t>
      </w:r>
      <w:r w:rsidRPr="00484A8F">
        <w:rPr>
          <w:rFonts w:cstheme="minorHAnsi"/>
          <w:i/>
        </w:rPr>
        <w:t>Physical</w:t>
      </w:r>
      <w:r>
        <w:rPr>
          <w:rFonts w:cstheme="minorHAnsi"/>
        </w:rPr>
        <w:t xml:space="preserve">: suitable traps, lures, other detection systems, identified best chemical options for environmental use, draft awareness material.  </w:t>
      </w:r>
      <w:r w:rsidRPr="00484A8F">
        <w:rPr>
          <w:rFonts w:cstheme="minorHAnsi"/>
          <w:i/>
        </w:rPr>
        <w:t>Administrative</w:t>
      </w:r>
      <w:r>
        <w:rPr>
          <w:rFonts w:cstheme="minorHAnsi"/>
        </w:rPr>
        <w:t>: suitable permits for chemical use, SOPs for response including for non-biosecurity staff and community).</w:t>
      </w:r>
    </w:p>
    <w:p w:rsidR="00400BFC" w:rsidRPr="004779A5" w:rsidRDefault="004779A5" w:rsidP="004779A5">
      <w:pPr>
        <w:pStyle w:val="ListParagraph"/>
        <w:numPr>
          <w:ilvl w:val="1"/>
          <w:numId w:val="7"/>
        </w:numPr>
        <w:spacing w:before="120" w:after="0" w:line="240" w:lineRule="auto"/>
        <w:rPr>
          <w:rFonts w:cstheme="minorHAnsi"/>
        </w:rPr>
      </w:pPr>
      <w:r w:rsidRPr="004779A5">
        <w:t xml:space="preserve">We </w:t>
      </w:r>
      <w:r>
        <w:t xml:space="preserve">understand that some of the organisms on the Priority List </w:t>
      </w:r>
      <w:r w:rsidR="00400BFC" w:rsidRPr="004779A5">
        <w:t xml:space="preserve">were </w:t>
      </w:r>
      <w:r>
        <w:t xml:space="preserve">subjects </w:t>
      </w:r>
      <w:r w:rsidR="00400BFC" w:rsidRPr="004779A5">
        <w:t xml:space="preserve">in </w:t>
      </w:r>
      <w:r>
        <w:t xml:space="preserve">a </w:t>
      </w:r>
      <w:r w:rsidR="00CD031E">
        <w:t xml:space="preserve">recent </w:t>
      </w:r>
      <w:r>
        <w:t xml:space="preserve">round of </w:t>
      </w:r>
      <w:r w:rsidR="00400BFC" w:rsidRPr="004779A5">
        <w:t>botanic gardens biosecurity network training</w:t>
      </w:r>
      <w:r w:rsidR="00CD031E">
        <w:t>. I</w:t>
      </w:r>
      <w:r w:rsidR="00400BFC" w:rsidRPr="004779A5">
        <w:t>s something like this envisaged for environmental agencies</w:t>
      </w:r>
      <w:r>
        <w:t xml:space="preserve"> and </w:t>
      </w:r>
      <w:r w:rsidR="00400BFC" w:rsidRPr="004779A5">
        <w:t xml:space="preserve">groups, utilising </w:t>
      </w:r>
      <w:proofErr w:type="spellStart"/>
      <w:r w:rsidR="00400BFC" w:rsidRPr="004779A5">
        <w:t>MyPestGuide</w:t>
      </w:r>
      <w:proofErr w:type="spellEnd"/>
      <w:r w:rsidR="00400BFC" w:rsidRPr="004779A5">
        <w:t>/Reporter</w:t>
      </w:r>
      <w:r>
        <w:t xml:space="preserve"> software?</w:t>
      </w:r>
    </w:p>
    <w:p w:rsidR="001F6496" w:rsidRPr="004779A5" w:rsidRDefault="001F6496" w:rsidP="004779A5">
      <w:pPr>
        <w:spacing w:before="120" w:after="0" w:line="240" w:lineRule="auto"/>
        <w:rPr>
          <w:rFonts w:cstheme="minorHAnsi"/>
        </w:rPr>
      </w:pPr>
    </w:p>
    <w:p w:rsidR="00F824B1" w:rsidRPr="004779A5" w:rsidRDefault="00F824B1" w:rsidP="001F6496">
      <w:pPr>
        <w:pStyle w:val="ListParagraph"/>
        <w:numPr>
          <w:ilvl w:val="0"/>
          <w:numId w:val="7"/>
        </w:numPr>
        <w:spacing w:before="120" w:after="0" w:line="240" w:lineRule="auto"/>
        <w:rPr>
          <w:rStyle w:val="e24kjd"/>
          <w:rFonts w:cstheme="minorHAnsi"/>
        </w:rPr>
      </w:pPr>
      <w:r w:rsidRPr="004779A5">
        <w:rPr>
          <w:rFonts w:cstheme="minorHAnsi"/>
        </w:rPr>
        <w:t xml:space="preserve">We note that 2020 is the UN’s </w:t>
      </w:r>
      <w:r w:rsidRPr="004779A5">
        <w:rPr>
          <w:rFonts w:cstheme="minorHAnsi"/>
          <w:i/>
        </w:rPr>
        <w:t xml:space="preserve">International Year </w:t>
      </w:r>
      <w:r w:rsidRPr="004779A5">
        <w:rPr>
          <w:rStyle w:val="e24kjd"/>
          <w:rFonts w:cstheme="minorHAnsi"/>
          <w:bCs/>
          <w:i/>
          <w:color w:val="222222"/>
        </w:rPr>
        <w:t>of Plant Health</w:t>
      </w:r>
      <w:r w:rsidRPr="004779A5">
        <w:rPr>
          <w:rStyle w:val="e24kjd"/>
          <w:rFonts w:cstheme="minorHAnsi"/>
          <w:color w:val="222222"/>
        </w:rPr>
        <w:t xml:space="preserve"> (IYPH), and that this has been endorsed by DA, but </w:t>
      </w:r>
      <w:r w:rsidR="00CD031E">
        <w:rPr>
          <w:rStyle w:val="e24kjd"/>
          <w:rFonts w:cstheme="minorHAnsi"/>
          <w:color w:val="222222"/>
        </w:rPr>
        <w:t xml:space="preserve">so far </w:t>
      </w:r>
      <w:r w:rsidRPr="004779A5">
        <w:rPr>
          <w:rStyle w:val="e24kjd"/>
          <w:rFonts w:cstheme="minorHAnsi"/>
          <w:color w:val="222222"/>
        </w:rPr>
        <w:t xml:space="preserve">with no announcement of proposed initiatives, funding, or </w:t>
      </w:r>
      <w:r w:rsidR="004779A5">
        <w:rPr>
          <w:rStyle w:val="e24kjd"/>
          <w:rFonts w:cstheme="minorHAnsi"/>
          <w:color w:val="222222"/>
        </w:rPr>
        <w:t xml:space="preserve">what level of </w:t>
      </w:r>
      <w:r w:rsidRPr="004779A5">
        <w:rPr>
          <w:rStyle w:val="e24kjd"/>
          <w:rFonts w:cstheme="minorHAnsi"/>
          <w:color w:val="222222"/>
        </w:rPr>
        <w:t xml:space="preserve">community NGO involvement </w:t>
      </w:r>
      <w:r w:rsidR="004779A5">
        <w:rPr>
          <w:rStyle w:val="e24kjd"/>
          <w:rFonts w:cstheme="minorHAnsi"/>
          <w:color w:val="222222"/>
        </w:rPr>
        <w:t xml:space="preserve">is hoped for </w:t>
      </w:r>
      <w:r w:rsidRPr="004779A5">
        <w:rPr>
          <w:rStyle w:val="e24kjd"/>
          <w:rFonts w:cstheme="minorHAnsi"/>
          <w:color w:val="222222"/>
        </w:rPr>
        <w:t xml:space="preserve">and how this is to be resourced. The IYPH is an ideal opportunity to drive greater biosecurity awareness and preparedness for some of the organisms on the </w:t>
      </w:r>
      <w:r w:rsidR="00CD031E">
        <w:rPr>
          <w:rStyle w:val="e24kjd"/>
          <w:rFonts w:cstheme="minorHAnsi"/>
          <w:color w:val="222222"/>
        </w:rPr>
        <w:t xml:space="preserve">Priority </w:t>
      </w:r>
      <w:r w:rsidRPr="004779A5">
        <w:rPr>
          <w:rStyle w:val="e24kjd"/>
          <w:rFonts w:cstheme="minorHAnsi"/>
          <w:color w:val="222222"/>
        </w:rPr>
        <w:t xml:space="preserve">List, but if increased engagement with and by the environmental sector remains a </w:t>
      </w:r>
      <w:r w:rsidR="00CD031E">
        <w:rPr>
          <w:rStyle w:val="e24kjd"/>
          <w:rFonts w:cstheme="minorHAnsi"/>
          <w:color w:val="222222"/>
        </w:rPr>
        <w:t xml:space="preserve">goal for </w:t>
      </w:r>
      <w:r w:rsidRPr="004779A5">
        <w:rPr>
          <w:rStyle w:val="e24kjd"/>
          <w:rFonts w:cstheme="minorHAnsi"/>
          <w:color w:val="222222"/>
        </w:rPr>
        <w:t xml:space="preserve">DA and </w:t>
      </w:r>
      <w:r w:rsidR="00CD031E">
        <w:rPr>
          <w:rStyle w:val="e24kjd"/>
          <w:rFonts w:cstheme="minorHAnsi"/>
          <w:color w:val="222222"/>
        </w:rPr>
        <w:t xml:space="preserve">the </w:t>
      </w:r>
      <w:r w:rsidRPr="004779A5">
        <w:rPr>
          <w:rStyle w:val="e24kjd"/>
          <w:rFonts w:cstheme="minorHAnsi"/>
          <w:color w:val="222222"/>
        </w:rPr>
        <w:t>ACEBO</w:t>
      </w:r>
      <w:r w:rsidR="00CD031E">
        <w:rPr>
          <w:rStyle w:val="e24kjd"/>
          <w:rFonts w:cstheme="minorHAnsi"/>
          <w:color w:val="222222"/>
        </w:rPr>
        <w:t>’s Office</w:t>
      </w:r>
      <w:r w:rsidRPr="004779A5">
        <w:rPr>
          <w:rStyle w:val="e24kjd"/>
          <w:rFonts w:cstheme="minorHAnsi"/>
          <w:color w:val="222222"/>
        </w:rPr>
        <w:t>, then it needs lead time, consultative decision-making, and resourcing.</w:t>
      </w:r>
      <w:r w:rsidR="001F6496" w:rsidRPr="004779A5">
        <w:rPr>
          <w:rStyle w:val="e24kjd"/>
          <w:rFonts w:cstheme="minorHAnsi"/>
          <w:color w:val="222222"/>
        </w:rPr>
        <w:t xml:space="preserve"> </w:t>
      </w:r>
      <w:r w:rsidR="00AF3CC7" w:rsidRPr="004779A5">
        <w:rPr>
          <w:rStyle w:val="e24kjd"/>
          <w:rFonts w:cstheme="minorHAnsi"/>
          <w:color w:val="222222"/>
        </w:rPr>
        <w:t xml:space="preserve">We draw attention to </w:t>
      </w:r>
      <w:r w:rsidR="004779A5">
        <w:rPr>
          <w:rStyle w:val="e24kjd"/>
          <w:rFonts w:cstheme="minorHAnsi"/>
          <w:color w:val="222222"/>
        </w:rPr>
        <w:t xml:space="preserve">the high </w:t>
      </w:r>
      <w:r w:rsidR="00AF3CC7" w:rsidRPr="004779A5">
        <w:rPr>
          <w:rStyle w:val="e24kjd"/>
          <w:rFonts w:cstheme="minorHAnsi"/>
          <w:color w:val="222222"/>
        </w:rPr>
        <w:t>investment levels in New Zealand for comparable activities directed at this goal.</w:t>
      </w:r>
    </w:p>
    <w:p w:rsidR="00AF3CC7" w:rsidRPr="004779A5" w:rsidRDefault="00AF3CC7" w:rsidP="001F6496">
      <w:pPr>
        <w:pStyle w:val="ListParagraph"/>
        <w:spacing w:before="120" w:after="0" w:line="240" w:lineRule="auto"/>
        <w:rPr>
          <w:rFonts w:cstheme="minorHAnsi"/>
        </w:rPr>
      </w:pPr>
    </w:p>
    <w:p w:rsidR="005969ED" w:rsidRDefault="00AF3CC7" w:rsidP="005969ED">
      <w:pPr>
        <w:pStyle w:val="ListParagraph"/>
        <w:numPr>
          <w:ilvl w:val="0"/>
          <w:numId w:val="7"/>
        </w:numPr>
        <w:spacing w:before="120" w:after="0" w:line="240" w:lineRule="auto"/>
        <w:rPr>
          <w:rFonts w:cstheme="minorHAnsi"/>
        </w:rPr>
      </w:pPr>
      <w:r w:rsidRPr="004779A5">
        <w:rPr>
          <w:rFonts w:cstheme="minorHAnsi"/>
        </w:rPr>
        <w:t>Regardless of IYPH, there needs to be a p</w:t>
      </w:r>
      <w:r w:rsidR="00F824B1" w:rsidRPr="004779A5">
        <w:rPr>
          <w:rFonts w:cstheme="minorHAnsi"/>
        </w:rPr>
        <w:t xml:space="preserve">rogram of familiarisation with the final </w:t>
      </w:r>
      <w:r w:rsidRPr="004779A5">
        <w:rPr>
          <w:rFonts w:cstheme="minorHAnsi"/>
        </w:rPr>
        <w:t>L</w:t>
      </w:r>
      <w:r w:rsidR="00F824B1" w:rsidRPr="004779A5">
        <w:rPr>
          <w:rFonts w:cstheme="minorHAnsi"/>
        </w:rPr>
        <w:t xml:space="preserve">ist and the operational implications, </w:t>
      </w:r>
      <w:r w:rsidR="00B31282" w:rsidRPr="004779A5">
        <w:rPr>
          <w:rFonts w:cstheme="minorHAnsi"/>
        </w:rPr>
        <w:t>involv</w:t>
      </w:r>
      <w:r w:rsidRPr="004779A5">
        <w:rPr>
          <w:rFonts w:cstheme="minorHAnsi"/>
        </w:rPr>
        <w:t>ing</w:t>
      </w:r>
      <w:r w:rsidR="00B31282" w:rsidRPr="004779A5">
        <w:rPr>
          <w:rFonts w:cstheme="minorHAnsi"/>
        </w:rPr>
        <w:t xml:space="preserve"> </w:t>
      </w:r>
      <w:r w:rsidRPr="004779A5">
        <w:rPr>
          <w:rFonts w:cstheme="minorHAnsi"/>
        </w:rPr>
        <w:t xml:space="preserve">the </w:t>
      </w:r>
      <w:r w:rsidR="00B31282" w:rsidRPr="004779A5">
        <w:rPr>
          <w:rFonts w:cstheme="minorHAnsi"/>
        </w:rPr>
        <w:t xml:space="preserve">environment sector (agencies, community NGOs, and eco-businesses) and </w:t>
      </w:r>
      <w:r w:rsidR="00F824B1" w:rsidRPr="004779A5">
        <w:rPr>
          <w:rFonts w:cstheme="minorHAnsi"/>
        </w:rPr>
        <w:t xml:space="preserve">Indigenous land owners/managers.  </w:t>
      </w:r>
      <w:r w:rsidRPr="004779A5">
        <w:rPr>
          <w:rFonts w:cstheme="minorHAnsi"/>
        </w:rPr>
        <w:t>This process should include the i</w:t>
      </w:r>
      <w:r w:rsidR="00F824B1" w:rsidRPr="004779A5">
        <w:rPr>
          <w:rFonts w:cstheme="minorHAnsi"/>
        </w:rPr>
        <w:t>dentif</w:t>
      </w:r>
      <w:r w:rsidRPr="004779A5">
        <w:rPr>
          <w:rFonts w:cstheme="minorHAnsi"/>
        </w:rPr>
        <w:t xml:space="preserve">ication and </w:t>
      </w:r>
      <w:r w:rsidR="00F824B1" w:rsidRPr="004779A5">
        <w:rPr>
          <w:rFonts w:cstheme="minorHAnsi"/>
        </w:rPr>
        <w:t>negotiat</w:t>
      </w:r>
      <w:r w:rsidRPr="004779A5">
        <w:rPr>
          <w:rFonts w:cstheme="minorHAnsi"/>
        </w:rPr>
        <w:t xml:space="preserve">ion of lines </w:t>
      </w:r>
      <w:r w:rsidR="00F824B1" w:rsidRPr="004779A5">
        <w:rPr>
          <w:rFonts w:cstheme="minorHAnsi"/>
        </w:rPr>
        <w:t>of communication and decision-making for a response (arrival and post-arrival phases) for each of these sub-sectors</w:t>
      </w:r>
      <w:r w:rsidRPr="004779A5">
        <w:rPr>
          <w:rFonts w:cstheme="minorHAnsi"/>
        </w:rPr>
        <w:t xml:space="preserve">.  This process should be urgently undertaken so it is in place </w:t>
      </w:r>
      <w:r w:rsidR="00F824B1" w:rsidRPr="004779A5">
        <w:rPr>
          <w:rFonts w:cstheme="minorHAnsi"/>
          <w:i/>
        </w:rPr>
        <w:t>before</w:t>
      </w:r>
      <w:r w:rsidR="00F824B1" w:rsidRPr="004779A5">
        <w:rPr>
          <w:rFonts w:cstheme="minorHAnsi"/>
        </w:rPr>
        <w:t xml:space="preserve"> a crisis, not during.</w:t>
      </w:r>
    </w:p>
    <w:p w:rsidR="004779A5" w:rsidRPr="004779A5" w:rsidRDefault="004779A5" w:rsidP="004779A5">
      <w:pPr>
        <w:spacing w:before="120" w:after="0" w:line="240" w:lineRule="auto"/>
        <w:rPr>
          <w:rFonts w:cstheme="minorHAnsi"/>
        </w:rPr>
      </w:pPr>
    </w:p>
    <w:p w:rsidR="00793C53" w:rsidRDefault="00F824B1" w:rsidP="001F6496">
      <w:pPr>
        <w:pStyle w:val="ListParagraph"/>
        <w:numPr>
          <w:ilvl w:val="0"/>
          <w:numId w:val="7"/>
        </w:numPr>
        <w:spacing w:before="120" w:after="0" w:line="240" w:lineRule="auto"/>
        <w:rPr>
          <w:rFonts w:cstheme="minorHAnsi"/>
        </w:rPr>
      </w:pPr>
      <w:r w:rsidRPr="004779A5">
        <w:rPr>
          <w:rFonts w:cstheme="minorHAnsi"/>
        </w:rPr>
        <w:t xml:space="preserve">Trial ‘war games’ </w:t>
      </w:r>
      <w:r w:rsidR="004779A5">
        <w:rPr>
          <w:rFonts w:cstheme="minorHAnsi"/>
        </w:rPr>
        <w:t xml:space="preserve">are needed </w:t>
      </w:r>
      <w:r w:rsidRPr="004779A5">
        <w:rPr>
          <w:rFonts w:cstheme="minorHAnsi"/>
        </w:rPr>
        <w:t xml:space="preserve">for at least some organisms in each category, </w:t>
      </w:r>
      <w:r w:rsidR="004779A5">
        <w:rPr>
          <w:rFonts w:cstheme="minorHAnsi"/>
        </w:rPr>
        <w:t xml:space="preserve">with stakeholder </w:t>
      </w:r>
      <w:r w:rsidRPr="004779A5">
        <w:rPr>
          <w:rFonts w:cstheme="minorHAnsi"/>
        </w:rPr>
        <w:t xml:space="preserve">involvement as </w:t>
      </w:r>
      <w:r w:rsidR="004779A5">
        <w:rPr>
          <w:rFonts w:cstheme="minorHAnsi"/>
        </w:rPr>
        <w:t xml:space="preserve">in the </w:t>
      </w:r>
      <w:r w:rsidRPr="004779A5">
        <w:rPr>
          <w:rFonts w:cstheme="minorHAnsi"/>
        </w:rPr>
        <w:t>previous</w:t>
      </w:r>
      <w:r w:rsidR="004779A5">
        <w:rPr>
          <w:rFonts w:cstheme="minorHAnsi"/>
        </w:rPr>
        <w:t xml:space="preserve"> dot-point</w:t>
      </w:r>
      <w:r w:rsidRPr="004779A5">
        <w:rPr>
          <w:rFonts w:cstheme="minorHAnsi"/>
        </w:rPr>
        <w:t>.</w:t>
      </w:r>
      <w:r w:rsidR="004779A5">
        <w:rPr>
          <w:rFonts w:cstheme="minorHAnsi"/>
        </w:rPr>
        <w:t xml:space="preserve">  We understand that such exercises are conducted for many agricultural pests and diseases, but they have been very rare for potential environmental </w:t>
      </w:r>
      <w:proofErr w:type="spellStart"/>
      <w:r w:rsidR="004779A5">
        <w:rPr>
          <w:rFonts w:cstheme="minorHAnsi"/>
        </w:rPr>
        <w:t>invasives</w:t>
      </w:r>
      <w:proofErr w:type="spellEnd"/>
      <w:r w:rsidR="004779A5">
        <w:rPr>
          <w:rFonts w:cstheme="minorHAnsi"/>
        </w:rPr>
        <w:t xml:space="preserve">.  We note that recent (2016-18) Xylella workshops had minimal representation from the environment sector.  Conscious outreach (and some support) to improve environment sector involvement in such exercises is </w:t>
      </w:r>
      <w:r w:rsidR="00793C53">
        <w:rPr>
          <w:rFonts w:cstheme="minorHAnsi"/>
        </w:rPr>
        <w:t>an indispensable part of securing better engagement.</w:t>
      </w:r>
    </w:p>
    <w:p w:rsidR="00793C53" w:rsidRPr="00793C53" w:rsidRDefault="00793C53" w:rsidP="00793C53">
      <w:pPr>
        <w:pStyle w:val="ListParagraph"/>
        <w:rPr>
          <w:rFonts w:cstheme="minorHAnsi"/>
        </w:rPr>
      </w:pPr>
    </w:p>
    <w:p w:rsidR="001F6496" w:rsidRDefault="00793C53" w:rsidP="001F6496">
      <w:pPr>
        <w:pStyle w:val="ListParagraph"/>
        <w:numPr>
          <w:ilvl w:val="0"/>
          <w:numId w:val="7"/>
        </w:numPr>
        <w:spacing w:before="120" w:after="0" w:line="240" w:lineRule="auto"/>
        <w:rPr>
          <w:rFonts w:cstheme="minorHAnsi"/>
        </w:rPr>
      </w:pPr>
      <w:r w:rsidRPr="00793C53">
        <w:rPr>
          <w:rFonts w:cstheme="minorHAnsi"/>
        </w:rPr>
        <w:t>Also important is a review of impediments in the environment sector to rapid response and recognition of each new risk (e.g. skills shortfalls</w:t>
      </w:r>
      <w:r>
        <w:rPr>
          <w:rFonts w:cstheme="minorHAnsi"/>
        </w:rPr>
        <w:t xml:space="preserve"> in agencies; </w:t>
      </w:r>
      <w:r w:rsidRPr="00793C53">
        <w:rPr>
          <w:rFonts w:cstheme="minorHAnsi"/>
        </w:rPr>
        <w:t xml:space="preserve">slow </w:t>
      </w:r>
      <w:r>
        <w:rPr>
          <w:rFonts w:cstheme="minorHAnsi"/>
        </w:rPr>
        <w:t xml:space="preserve">Extinction-risk </w:t>
      </w:r>
      <w:r w:rsidRPr="00793C53">
        <w:rPr>
          <w:rFonts w:cstheme="minorHAnsi"/>
        </w:rPr>
        <w:t>Listing procedures</w:t>
      </w:r>
      <w:r>
        <w:rPr>
          <w:rFonts w:cstheme="minorHAnsi"/>
        </w:rPr>
        <w:t xml:space="preserve"> in most or all jurisdictions;</w:t>
      </w:r>
      <w:r w:rsidRPr="00793C53">
        <w:rPr>
          <w:rFonts w:cstheme="minorHAnsi"/>
        </w:rPr>
        <w:t xml:space="preserve"> </w:t>
      </w:r>
      <w:r>
        <w:rPr>
          <w:rFonts w:cstheme="minorHAnsi"/>
        </w:rPr>
        <w:t xml:space="preserve">a </w:t>
      </w:r>
      <w:r w:rsidRPr="00793C53">
        <w:rPr>
          <w:rFonts w:cstheme="minorHAnsi"/>
        </w:rPr>
        <w:t>lack of discretionary emergency funding sources in these agencies for unlisted but at-risk species)</w:t>
      </w:r>
      <w:r>
        <w:rPr>
          <w:rFonts w:cstheme="minorHAnsi"/>
        </w:rPr>
        <w:t>.  Conducting such a review would itself help make environment agencies more aware of their expertise and systems gaps, and the possible remedies.</w:t>
      </w:r>
    </w:p>
    <w:p w:rsidR="00793C53" w:rsidRPr="00793C53" w:rsidRDefault="00793C53" w:rsidP="00793C53">
      <w:pPr>
        <w:spacing w:before="120" w:after="0" w:line="240" w:lineRule="auto"/>
        <w:rPr>
          <w:rFonts w:cstheme="minorHAnsi"/>
        </w:rPr>
      </w:pPr>
    </w:p>
    <w:p w:rsidR="00793C53" w:rsidRPr="00793C53" w:rsidRDefault="003C3E3C" w:rsidP="00793C53">
      <w:pPr>
        <w:pStyle w:val="ListParagraph"/>
        <w:numPr>
          <w:ilvl w:val="0"/>
          <w:numId w:val="7"/>
        </w:numPr>
        <w:spacing w:before="120" w:after="0" w:line="240" w:lineRule="auto"/>
        <w:rPr>
          <w:rFonts w:cstheme="minorHAnsi"/>
        </w:rPr>
      </w:pPr>
      <w:r>
        <w:rPr>
          <w:rFonts w:cstheme="minorHAnsi"/>
        </w:rPr>
        <w:t xml:space="preserve">Regarding preparedness for post-arrival </w:t>
      </w:r>
      <w:r w:rsidR="008A41C3">
        <w:rPr>
          <w:rFonts w:cstheme="minorHAnsi"/>
        </w:rPr>
        <w:t>tra</w:t>
      </w:r>
      <w:r w:rsidR="00CD031E">
        <w:rPr>
          <w:rFonts w:cstheme="minorHAnsi"/>
        </w:rPr>
        <w:t>n</w:t>
      </w:r>
      <w:r w:rsidR="008A41C3">
        <w:rPr>
          <w:rFonts w:cstheme="minorHAnsi"/>
        </w:rPr>
        <w:t>sition (assuming failed eradication)</w:t>
      </w:r>
      <w:r w:rsidR="00CD031E">
        <w:rPr>
          <w:rFonts w:cstheme="minorHAnsi"/>
        </w:rPr>
        <w:t>,</w:t>
      </w:r>
      <w:r w:rsidR="008A41C3">
        <w:rPr>
          <w:rFonts w:cstheme="minorHAnsi"/>
        </w:rPr>
        <w:t xml:space="preserve"> w</w:t>
      </w:r>
      <w:r w:rsidR="00793C53" w:rsidRPr="004779A5">
        <w:rPr>
          <w:rFonts w:cstheme="minorHAnsi"/>
        </w:rPr>
        <w:t xml:space="preserve">e would draw </w:t>
      </w:r>
      <w:proofErr w:type="gramStart"/>
      <w:r w:rsidR="00793C53" w:rsidRPr="004779A5">
        <w:rPr>
          <w:rFonts w:cstheme="minorHAnsi"/>
        </w:rPr>
        <w:t>particular attention</w:t>
      </w:r>
      <w:proofErr w:type="gramEnd"/>
      <w:r w:rsidR="00793C53" w:rsidRPr="004779A5">
        <w:rPr>
          <w:rFonts w:cstheme="minorHAnsi"/>
        </w:rPr>
        <w:t xml:space="preserve"> to the disastrous lack of uptake </w:t>
      </w:r>
      <w:r w:rsidR="00793C53">
        <w:rPr>
          <w:rFonts w:cstheme="minorHAnsi"/>
        </w:rPr>
        <w:t xml:space="preserve">on Myrtle Rust </w:t>
      </w:r>
      <w:r w:rsidR="00793C53" w:rsidRPr="004779A5">
        <w:rPr>
          <w:rFonts w:cstheme="minorHAnsi"/>
        </w:rPr>
        <w:t>by the environmental agencies</w:t>
      </w:r>
      <w:r w:rsidR="00793C53">
        <w:rPr>
          <w:rFonts w:cstheme="minorHAnsi"/>
        </w:rPr>
        <w:t>,</w:t>
      </w:r>
      <w:r w:rsidR="00793C53" w:rsidRPr="004779A5">
        <w:rPr>
          <w:rFonts w:cstheme="minorHAnsi"/>
        </w:rPr>
        <w:t xml:space="preserve"> after the initial </w:t>
      </w:r>
      <w:r w:rsidR="00793C53">
        <w:rPr>
          <w:rFonts w:cstheme="minorHAnsi"/>
        </w:rPr>
        <w:t xml:space="preserve">Ag-led </w:t>
      </w:r>
      <w:r w:rsidR="00793C53" w:rsidRPr="004779A5">
        <w:rPr>
          <w:rFonts w:cstheme="minorHAnsi"/>
        </w:rPr>
        <w:t>emergency phases of response to Myrtle Rust in 2010-12</w:t>
      </w:r>
      <w:r w:rsidR="00793C53">
        <w:rPr>
          <w:rFonts w:cstheme="minorHAnsi"/>
        </w:rPr>
        <w:t xml:space="preserve">.  The lack of </w:t>
      </w:r>
      <w:r w:rsidR="008C090B">
        <w:rPr>
          <w:rFonts w:cstheme="minorHAnsi"/>
        </w:rPr>
        <w:t xml:space="preserve">effective </w:t>
      </w:r>
      <w:r w:rsidR="00793C53">
        <w:rPr>
          <w:rFonts w:cstheme="minorHAnsi"/>
        </w:rPr>
        <w:t>handover systems</w:t>
      </w:r>
      <w:r w:rsidR="00DD7C90">
        <w:rPr>
          <w:rFonts w:cstheme="minorHAnsi"/>
        </w:rPr>
        <w:t>, very slowing assessment regimes</w:t>
      </w:r>
      <w:r w:rsidR="00DD7C90" w:rsidRPr="00DD7C90">
        <w:rPr>
          <w:rFonts w:cstheme="minorHAnsi"/>
        </w:rPr>
        <w:t xml:space="preserve"> </w:t>
      </w:r>
      <w:r w:rsidR="00DD7C90">
        <w:rPr>
          <w:rFonts w:cstheme="minorHAnsi"/>
        </w:rPr>
        <w:t xml:space="preserve">for extinction-risk </w:t>
      </w:r>
      <w:r w:rsidR="00DD7C90">
        <w:rPr>
          <w:rFonts w:cstheme="minorHAnsi"/>
        </w:rPr>
        <w:t>listing</w:t>
      </w:r>
      <w:r w:rsidR="00DD7C90">
        <w:rPr>
          <w:rFonts w:cstheme="minorHAnsi"/>
        </w:rPr>
        <w:t xml:space="preserve">, </w:t>
      </w:r>
      <w:bookmarkStart w:id="0" w:name="_GoBack"/>
      <w:bookmarkEnd w:id="0"/>
      <w:r w:rsidR="00793C53">
        <w:rPr>
          <w:rFonts w:cstheme="minorHAnsi"/>
        </w:rPr>
        <w:t xml:space="preserve">and the resulting ‘dropped ball’ </w:t>
      </w:r>
      <w:r w:rsidR="008C090B">
        <w:rPr>
          <w:rFonts w:cstheme="minorHAnsi"/>
        </w:rPr>
        <w:t>on the environmental impact front</w:t>
      </w:r>
      <w:r w:rsidR="008A41C3">
        <w:rPr>
          <w:rFonts w:cstheme="minorHAnsi"/>
        </w:rPr>
        <w:t>,</w:t>
      </w:r>
      <w:r w:rsidR="008C090B">
        <w:rPr>
          <w:rFonts w:cstheme="minorHAnsi"/>
        </w:rPr>
        <w:t xml:space="preserve"> </w:t>
      </w:r>
      <w:r w:rsidR="00793C53">
        <w:rPr>
          <w:rFonts w:cstheme="minorHAnsi"/>
        </w:rPr>
        <w:t xml:space="preserve">have been the </w:t>
      </w:r>
      <w:r w:rsidR="00793C53" w:rsidRPr="004779A5">
        <w:rPr>
          <w:rFonts w:cstheme="minorHAnsi"/>
        </w:rPr>
        <w:t xml:space="preserve">root of the continuing lack of any coordinated environmental response </w:t>
      </w:r>
      <w:r w:rsidR="00793C53">
        <w:rPr>
          <w:rFonts w:cstheme="minorHAnsi"/>
        </w:rPr>
        <w:t>up to the present (</w:t>
      </w:r>
      <w:r w:rsidR="00793C53" w:rsidRPr="004779A5">
        <w:rPr>
          <w:rFonts w:cstheme="minorHAnsi"/>
        </w:rPr>
        <w:t>2019</w:t>
      </w:r>
      <w:r w:rsidR="00793C53">
        <w:rPr>
          <w:rFonts w:cstheme="minorHAnsi"/>
        </w:rPr>
        <w:t>)</w:t>
      </w:r>
      <w:r w:rsidR="00793C53" w:rsidRPr="004779A5">
        <w:rPr>
          <w:rFonts w:cstheme="minorHAnsi"/>
        </w:rPr>
        <w:t xml:space="preserve">. </w:t>
      </w:r>
      <w:r w:rsidR="008C090B">
        <w:rPr>
          <w:rFonts w:cstheme="minorHAnsi"/>
        </w:rPr>
        <w:t>(</w:t>
      </w:r>
      <w:r w:rsidR="00793C53">
        <w:rPr>
          <w:rFonts w:cstheme="minorHAnsi"/>
        </w:rPr>
        <w:t>The contrast with the New Zealand situation since Myrtle Rust arrival in 2017 is stark:  they have managed an effective, almost seamless transition from the initial Ag-led response to a wider, whole-of-government and well-resourced environmental impact management program</w:t>
      </w:r>
      <w:r w:rsidR="008C090B">
        <w:rPr>
          <w:rFonts w:cstheme="minorHAnsi"/>
        </w:rPr>
        <w:t>.)</w:t>
      </w:r>
      <w:r w:rsidR="00793C53">
        <w:rPr>
          <w:rFonts w:cstheme="minorHAnsi"/>
        </w:rPr>
        <w:t xml:space="preserve">  Many of the organisms </w:t>
      </w:r>
      <w:r w:rsidR="008C090B">
        <w:rPr>
          <w:rFonts w:cstheme="minorHAnsi"/>
        </w:rPr>
        <w:t xml:space="preserve">on the </w:t>
      </w:r>
      <w:r w:rsidR="008A41C3">
        <w:rPr>
          <w:rFonts w:cstheme="minorHAnsi"/>
        </w:rPr>
        <w:t xml:space="preserve">present </w:t>
      </w:r>
      <w:r w:rsidR="008C090B">
        <w:rPr>
          <w:rFonts w:cstheme="minorHAnsi"/>
        </w:rPr>
        <w:t>Priority List have a similar high potential for rapid spread and wide impact</w:t>
      </w:r>
      <w:r w:rsidR="008A41C3">
        <w:rPr>
          <w:rFonts w:cstheme="minorHAnsi"/>
        </w:rPr>
        <w:t>.  W</w:t>
      </w:r>
      <w:r w:rsidR="008C090B">
        <w:rPr>
          <w:rFonts w:cstheme="minorHAnsi"/>
        </w:rPr>
        <w:t xml:space="preserve">e see no evidence that there has been any reduction of </w:t>
      </w:r>
      <w:r w:rsidR="00CD031E">
        <w:rPr>
          <w:rFonts w:cstheme="minorHAnsi"/>
        </w:rPr>
        <w:t xml:space="preserve">a similar </w:t>
      </w:r>
      <w:r w:rsidR="008C090B">
        <w:rPr>
          <w:rFonts w:cstheme="minorHAnsi"/>
        </w:rPr>
        <w:t xml:space="preserve">recurrence </w:t>
      </w:r>
      <w:r w:rsidR="00CD031E">
        <w:rPr>
          <w:rFonts w:cstheme="minorHAnsi"/>
        </w:rPr>
        <w:t xml:space="preserve">– of </w:t>
      </w:r>
      <w:r w:rsidR="008C090B">
        <w:rPr>
          <w:rFonts w:cstheme="minorHAnsi"/>
        </w:rPr>
        <w:t>failure to transition to an effective environmental response</w:t>
      </w:r>
      <w:r w:rsidR="008A41C3">
        <w:rPr>
          <w:rFonts w:cstheme="minorHAnsi"/>
        </w:rPr>
        <w:t xml:space="preserve"> </w:t>
      </w:r>
      <w:r w:rsidR="00CD031E">
        <w:rPr>
          <w:rFonts w:cstheme="minorHAnsi"/>
        </w:rPr>
        <w:t>– were a comparable situation to arise again</w:t>
      </w:r>
      <w:r w:rsidR="008C090B">
        <w:rPr>
          <w:rFonts w:cstheme="minorHAnsi"/>
        </w:rPr>
        <w:t xml:space="preserve">.  The Priority List should be used to drive changes in agency priorities, culture, and skills formation that will </w:t>
      </w:r>
      <w:r w:rsidR="008C090B" w:rsidRPr="008A41C3">
        <w:rPr>
          <w:rFonts w:cstheme="minorHAnsi"/>
          <w:i/>
        </w:rPr>
        <w:t>in fact</w:t>
      </w:r>
      <w:r w:rsidR="008C090B">
        <w:rPr>
          <w:rFonts w:cstheme="minorHAnsi"/>
        </w:rPr>
        <w:t xml:space="preserve"> reduce that risk into the future.</w:t>
      </w:r>
    </w:p>
    <w:p w:rsidR="00793C53" w:rsidRPr="00793C53" w:rsidRDefault="00793C53" w:rsidP="00793C53">
      <w:pPr>
        <w:spacing w:before="120" w:after="0" w:line="240" w:lineRule="auto"/>
        <w:rPr>
          <w:rFonts w:cstheme="minorHAnsi"/>
        </w:rPr>
      </w:pPr>
    </w:p>
    <w:p w:rsidR="001F6496" w:rsidRPr="008A41C3" w:rsidRDefault="00484A8F" w:rsidP="001F6496">
      <w:pPr>
        <w:pStyle w:val="ListParagraph"/>
        <w:numPr>
          <w:ilvl w:val="0"/>
          <w:numId w:val="7"/>
        </w:numPr>
        <w:spacing w:before="120" w:after="0" w:line="240" w:lineRule="auto"/>
        <w:rPr>
          <w:rFonts w:cstheme="minorHAnsi"/>
        </w:rPr>
      </w:pPr>
      <w:r w:rsidRPr="004779A5">
        <w:rPr>
          <w:rFonts w:cstheme="minorHAnsi"/>
        </w:rPr>
        <w:t xml:space="preserve">Once first-cut Preparedness Plans </w:t>
      </w:r>
      <w:r w:rsidR="00B31282" w:rsidRPr="004779A5">
        <w:rPr>
          <w:rFonts w:cstheme="minorHAnsi"/>
        </w:rPr>
        <w:t xml:space="preserve">and rehearsed procedures </w:t>
      </w:r>
      <w:r w:rsidRPr="004779A5">
        <w:rPr>
          <w:rFonts w:cstheme="minorHAnsi"/>
        </w:rPr>
        <w:t xml:space="preserve">are in place (and capability gaps </w:t>
      </w:r>
      <w:r w:rsidR="00793C53">
        <w:rPr>
          <w:rFonts w:cstheme="minorHAnsi"/>
        </w:rPr>
        <w:t xml:space="preserve">are </w:t>
      </w:r>
      <w:r w:rsidRPr="004779A5">
        <w:rPr>
          <w:rFonts w:cstheme="minorHAnsi"/>
        </w:rPr>
        <w:t>remedied), other elements of the normal slow Contingency Plan</w:t>
      </w:r>
      <w:r w:rsidR="008A41C3">
        <w:rPr>
          <w:rFonts w:cstheme="minorHAnsi"/>
        </w:rPr>
        <w:t xml:space="preserve"> proces</w:t>
      </w:r>
      <w:r w:rsidRPr="004779A5">
        <w:rPr>
          <w:rFonts w:cstheme="minorHAnsi"/>
        </w:rPr>
        <w:t xml:space="preserve">s should be developed – </w:t>
      </w:r>
      <w:r w:rsidR="008A41C3">
        <w:rPr>
          <w:rFonts w:cstheme="minorHAnsi"/>
        </w:rPr>
        <w:t xml:space="preserve">published </w:t>
      </w:r>
      <w:r w:rsidRPr="004779A5">
        <w:rPr>
          <w:rFonts w:cstheme="minorHAnsi"/>
        </w:rPr>
        <w:t>review</w:t>
      </w:r>
      <w:r w:rsidR="00793C53">
        <w:rPr>
          <w:rFonts w:cstheme="minorHAnsi"/>
        </w:rPr>
        <w:t>s</w:t>
      </w:r>
      <w:r w:rsidRPr="004779A5">
        <w:rPr>
          <w:rFonts w:cstheme="minorHAnsi"/>
        </w:rPr>
        <w:t xml:space="preserve"> of biology of </w:t>
      </w:r>
      <w:r w:rsidR="00793C53">
        <w:rPr>
          <w:rFonts w:cstheme="minorHAnsi"/>
        </w:rPr>
        <w:t xml:space="preserve">the </w:t>
      </w:r>
      <w:r w:rsidRPr="004779A5">
        <w:rPr>
          <w:rFonts w:cstheme="minorHAnsi"/>
        </w:rPr>
        <w:t>organism</w:t>
      </w:r>
      <w:r w:rsidR="008A41C3">
        <w:rPr>
          <w:rFonts w:cstheme="minorHAnsi"/>
        </w:rPr>
        <w:t xml:space="preserve">; </w:t>
      </w:r>
      <w:r w:rsidR="00B31282" w:rsidRPr="004779A5">
        <w:rPr>
          <w:rFonts w:cstheme="minorHAnsi"/>
        </w:rPr>
        <w:t xml:space="preserve">more in-depth review of </w:t>
      </w:r>
      <w:r w:rsidRPr="004779A5">
        <w:rPr>
          <w:rFonts w:cstheme="minorHAnsi"/>
        </w:rPr>
        <w:t xml:space="preserve">native </w:t>
      </w:r>
      <w:r w:rsidR="00B31282" w:rsidRPr="004779A5">
        <w:rPr>
          <w:rFonts w:cstheme="minorHAnsi"/>
        </w:rPr>
        <w:t xml:space="preserve">species and ecosystems </w:t>
      </w:r>
      <w:r w:rsidR="008A41C3">
        <w:rPr>
          <w:rFonts w:cstheme="minorHAnsi"/>
        </w:rPr>
        <w:t xml:space="preserve">and cultural assets </w:t>
      </w:r>
      <w:r w:rsidR="008A41C3" w:rsidRPr="004779A5">
        <w:rPr>
          <w:rFonts w:cstheme="minorHAnsi"/>
        </w:rPr>
        <w:t xml:space="preserve">likely </w:t>
      </w:r>
      <w:r w:rsidR="008A41C3">
        <w:rPr>
          <w:rFonts w:cstheme="minorHAnsi"/>
        </w:rPr>
        <w:t xml:space="preserve">to be at </w:t>
      </w:r>
      <w:r w:rsidR="00B31282" w:rsidRPr="004779A5">
        <w:rPr>
          <w:rFonts w:cstheme="minorHAnsi"/>
        </w:rPr>
        <w:t xml:space="preserve">risk; </w:t>
      </w:r>
      <w:r w:rsidR="008A41C3">
        <w:rPr>
          <w:rFonts w:cstheme="minorHAnsi"/>
        </w:rPr>
        <w:t xml:space="preserve">and </w:t>
      </w:r>
      <w:r w:rsidR="00B31282" w:rsidRPr="004779A5">
        <w:rPr>
          <w:rFonts w:cstheme="minorHAnsi"/>
        </w:rPr>
        <w:t>appropriate precautionary actions for these (e.g. germplasm capture</w:t>
      </w:r>
      <w:r w:rsidR="00793C53">
        <w:rPr>
          <w:rFonts w:cstheme="minorHAnsi"/>
        </w:rPr>
        <w:t xml:space="preserve"> – b</w:t>
      </w:r>
      <w:r w:rsidR="00B31282" w:rsidRPr="004779A5">
        <w:rPr>
          <w:rFonts w:cstheme="minorHAnsi"/>
        </w:rPr>
        <w:t xml:space="preserve">efore </w:t>
      </w:r>
      <w:r w:rsidR="00793C53">
        <w:rPr>
          <w:rFonts w:cstheme="minorHAnsi"/>
        </w:rPr>
        <w:t xml:space="preserve">the </w:t>
      </w:r>
      <w:r w:rsidR="00B31282" w:rsidRPr="004779A5">
        <w:rPr>
          <w:rFonts w:cstheme="minorHAnsi"/>
        </w:rPr>
        <w:t>threat arrives this time</w:t>
      </w:r>
      <w:r w:rsidR="00793C53">
        <w:rPr>
          <w:rFonts w:cstheme="minorHAnsi"/>
        </w:rPr>
        <w:t>, cf. Myrtle Rust</w:t>
      </w:r>
      <w:r w:rsidR="00B31282" w:rsidRPr="004779A5">
        <w:rPr>
          <w:rFonts w:cstheme="minorHAnsi"/>
        </w:rPr>
        <w:t>!)</w:t>
      </w:r>
      <w:r w:rsidR="005969ED" w:rsidRPr="004779A5">
        <w:rPr>
          <w:rFonts w:cstheme="minorHAnsi"/>
        </w:rPr>
        <w:t xml:space="preserve">. </w:t>
      </w:r>
    </w:p>
    <w:p w:rsidR="00F36DA9" w:rsidRPr="004779A5" w:rsidRDefault="00F36DA9" w:rsidP="00F36DA9">
      <w:pPr>
        <w:pStyle w:val="ListParagraph"/>
        <w:rPr>
          <w:rFonts w:cstheme="minorHAnsi"/>
        </w:rPr>
      </w:pPr>
    </w:p>
    <w:p w:rsidR="00F36DA9" w:rsidRPr="004779A5" w:rsidRDefault="00F36DA9" w:rsidP="00F36DA9">
      <w:pPr>
        <w:pStyle w:val="ListParagraph"/>
        <w:numPr>
          <w:ilvl w:val="0"/>
          <w:numId w:val="7"/>
        </w:numPr>
        <w:spacing w:before="120" w:after="0" w:line="240" w:lineRule="auto"/>
        <w:rPr>
          <w:rFonts w:cstheme="minorHAnsi"/>
        </w:rPr>
      </w:pPr>
      <w:proofErr w:type="gramStart"/>
      <w:r w:rsidRPr="004779A5">
        <w:rPr>
          <w:rFonts w:cstheme="minorHAnsi"/>
        </w:rPr>
        <w:t>In regard to</w:t>
      </w:r>
      <w:proofErr w:type="gramEnd"/>
      <w:r w:rsidRPr="004779A5">
        <w:rPr>
          <w:rFonts w:cstheme="minorHAnsi"/>
        </w:rPr>
        <w:t xml:space="preserve"> periodic review of the Priority List, we note that the ABARES (2019) Information Paper states that “</w:t>
      </w:r>
      <w:r w:rsidRPr="004779A5">
        <w:t>the NBC should lead reviews of the national priority lists at least every five years, reporting to [Agriculture Senior Officials Committee] AGSOC and [Agriculture Ministers' Forum] AGMIN”</w:t>
      </w:r>
      <w:r w:rsidR="0045353C" w:rsidRPr="004779A5">
        <w:t xml:space="preserve">, as per recommendation of the Craik </w:t>
      </w:r>
      <w:r w:rsidR="00A15CA6" w:rsidRPr="004779A5">
        <w:t>et al. (2017) R</w:t>
      </w:r>
      <w:r w:rsidR="0045353C" w:rsidRPr="004779A5">
        <w:t>eview</w:t>
      </w:r>
      <w:r w:rsidR="00A15CA6" w:rsidRPr="004779A5">
        <w:t xml:space="preserve">.  We suggest that this reporting line contributes </w:t>
      </w:r>
      <w:r w:rsidR="00A15CA6" w:rsidRPr="008A41C3">
        <w:rPr>
          <w:i/>
        </w:rPr>
        <w:t>nothing</w:t>
      </w:r>
      <w:r w:rsidR="00A15CA6" w:rsidRPr="004779A5">
        <w:t xml:space="preserve"> to closer engagement of the environmental agencies in biosecurity (a key issue in that review), and that </w:t>
      </w:r>
      <w:r w:rsidR="00A15CA6" w:rsidRPr="004779A5">
        <w:rPr>
          <w:i/>
        </w:rPr>
        <w:t>dual reportage</w:t>
      </w:r>
      <w:r w:rsidR="00A15CA6" w:rsidRPr="004779A5">
        <w:t xml:space="preserve"> through both the Agriculture and Environment committee and Ministers Forum streams would be far more appropriate.</w:t>
      </w:r>
    </w:p>
    <w:p w:rsidR="00AF3CC7" w:rsidRPr="004779A5" w:rsidRDefault="00AF3CC7" w:rsidP="00AF3CC7">
      <w:pPr>
        <w:spacing w:after="0" w:line="240" w:lineRule="auto"/>
        <w:rPr>
          <w:rFonts w:cstheme="minorHAnsi"/>
        </w:rPr>
      </w:pPr>
    </w:p>
    <w:p w:rsidR="00AF3CC7" w:rsidRPr="004779A5" w:rsidRDefault="001F6496" w:rsidP="00AF3CC7">
      <w:pPr>
        <w:spacing w:after="0" w:line="240" w:lineRule="auto"/>
        <w:rPr>
          <w:rFonts w:cstheme="minorHAnsi"/>
        </w:rPr>
      </w:pPr>
      <w:r w:rsidRPr="004779A5">
        <w:rPr>
          <w:rFonts w:cstheme="minorHAnsi"/>
        </w:rPr>
        <w:t>&lt;end&gt;</w:t>
      </w:r>
    </w:p>
    <w:p w:rsidR="00AF3CC7" w:rsidRPr="004779A5" w:rsidRDefault="00AF3CC7" w:rsidP="00AF3CC7">
      <w:pPr>
        <w:spacing w:after="0" w:line="240" w:lineRule="auto"/>
        <w:rPr>
          <w:rFonts w:cstheme="minorHAnsi"/>
        </w:rPr>
      </w:pPr>
    </w:p>
    <w:sectPr w:rsidR="00AF3CC7" w:rsidRPr="004779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A4D"/>
    <w:multiLevelType w:val="hybridMultilevel"/>
    <w:tmpl w:val="1AC8B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652D71"/>
    <w:multiLevelType w:val="hybridMultilevel"/>
    <w:tmpl w:val="0F163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7918E5"/>
    <w:multiLevelType w:val="multilevel"/>
    <w:tmpl w:val="9458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A2AAB"/>
    <w:multiLevelType w:val="hybridMultilevel"/>
    <w:tmpl w:val="82CC7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FF77E5"/>
    <w:multiLevelType w:val="hybridMultilevel"/>
    <w:tmpl w:val="9E860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DE1805"/>
    <w:multiLevelType w:val="hybridMultilevel"/>
    <w:tmpl w:val="5A284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7A3B96"/>
    <w:multiLevelType w:val="hybridMultilevel"/>
    <w:tmpl w:val="650A8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8A27C6"/>
    <w:multiLevelType w:val="hybridMultilevel"/>
    <w:tmpl w:val="2508E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547EB7"/>
    <w:multiLevelType w:val="hybridMultilevel"/>
    <w:tmpl w:val="0CDCC6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F396EEB"/>
    <w:multiLevelType w:val="hybridMultilevel"/>
    <w:tmpl w:val="E7B226D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7F442E45"/>
    <w:multiLevelType w:val="hybridMultilevel"/>
    <w:tmpl w:val="7F58C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10"/>
  </w:num>
  <w:num w:numId="6">
    <w:abstractNumId w:val="8"/>
  </w:num>
  <w:num w:numId="7">
    <w:abstractNumId w:val="0"/>
  </w:num>
  <w:num w:numId="8">
    <w:abstractNumId w:val="3"/>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76"/>
    <w:rsid w:val="001F6496"/>
    <w:rsid w:val="002323A0"/>
    <w:rsid w:val="002D42FA"/>
    <w:rsid w:val="002E662E"/>
    <w:rsid w:val="002F301C"/>
    <w:rsid w:val="003C3E3C"/>
    <w:rsid w:val="00400BFC"/>
    <w:rsid w:val="00416B76"/>
    <w:rsid w:val="0045353C"/>
    <w:rsid w:val="004779A5"/>
    <w:rsid w:val="00484A8F"/>
    <w:rsid w:val="005969ED"/>
    <w:rsid w:val="00793C53"/>
    <w:rsid w:val="0079582F"/>
    <w:rsid w:val="00832FA7"/>
    <w:rsid w:val="008A3D49"/>
    <w:rsid w:val="008A41C3"/>
    <w:rsid w:val="008C090B"/>
    <w:rsid w:val="00967571"/>
    <w:rsid w:val="009C2D68"/>
    <w:rsid w:val="00A15CA6"/>
    <w:rsid w:val="00A43367"/>
    <w:rsid w:val="00A7725A"/>
    <w:rsid w:val="00AF3CC7"/>
    <w:rsid w:val="00B31282"/>
    <w:rsid w:val="00C42115"/>
    <w:rsid w:val="00CD031E"/>
    <w:rsid w:val="00CE411E"/>
    <w:rsid w:val="00D1692E"/>
    <w:rsid w:val="00D23749"/>
    <w:rsid w:val="00DD7C90"/>
    <w:rsid w:val="00E20D99"/>
    <w:rsid w:val="00F36511"/>
    <w:rsid w:val="00F36DA9"/>
    <w:rsid w:val="00F824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0AF2"/>
  <w15:chartTrackingRefBased/>
  <w15:docId w15:val="{BB060B1E-1DDB-4977-827C-A8984994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B76"/>
    <w:rPr>
      <w:color w:val="0563C1" w:themeColor="hyperlink"/>
      <w:u w:val="single"/>
    </w:rPr>
  </w:style>
  <w:style w:type="character" w:styleId="UnresolvedMention">
    <w:name w:val="Unresolved Mention"/>
    <w:basedOn w:val="DefaultParagraphFont"/>
    <w:uiPriority w:val="99"/>
    <w:semiHidden/>
    <w:unhideWhenUsed/>
    <w:rsid w:val="00416B76"/>
    <w:rPr>
      <w:color w:val="605E5C"/>
      <w:shd w:val="clear" w:color="auto" w:fill="E1DFDD"/>
    </w:rPr>
  </w:style>
  <w:style w:type="paragraph" w:styleId="ListParagraph">
    <w:name w:val="List Paragraph"/>
    <w:basedOn w:val="Normal"/>
    <w:uiPriority w:val="34"/>
    <w:qFormat/>
    <w:rsid w:val="00E20D99"/>
    <w:pPr>
      <w:ind w:left="720"/>
      <w:contextualSpacing/>
    </w:pPr>
  </w:style>
  <w:style w:type="character" w:customStyle="1" w:styleId="e24kjd">
    <w:name w:val="e24kjd"/>
    <w:basedOn w:val="DefaultParagraphFont"/>
    <w:rsid w:val="00F824B1"/>
  </w:style>
  <w:style w:type="character" w:styleId="CommentReference">
    <w:name w:val="annotation reference"/>
    <w:basedOn w:val="DefaultParagraphFont"/>
    <w:uiPriority w:val="99"/>
    <w:semiHidden/>
    <w:unhideWhenUsed/>
    <w:rsid w:val="00400BFC"/>
    <w:rPr>
      <w:sz w:val="16"/>
      <w:szCs w:val="16"/>
    </w:rPr>
  </w:style>
  <w:style w:type="paragraph" w:styleId="CommentText">
    <w:name w:val="annotation text"/>
    <w:basedOn w:val="Normal"/>
    <w:link w:val="CommentTextChar"/>
    <w:uiPriority w:val="99"/>
    <w:semiHidden/>
    <w:unhideWhenUsed/>
    <w:rsid w:val="00400BFC"/>
    <w:pPr>
      <w:spacing w:line="240" w:lineRule="auto"/>
    </w:pPr>
    <w:rPr>
      <w:sz w:val="20"/>
      <w:szCs w:val="20"/>
    </w:rPr>
  </w:style>
  <w:style w:type="character" w:customStyle="1" w:styleId="CommentTextChar">
    <w:name w:val="Comment Text Char"/>
    <w:basedOn w:val="DefaultParagraphFont"/>
    <w:link w:val="CommentText"/>
    <w:uiPriority w:val="99"/>
    <w:semiHidden/>
    <w:rsid w:val="00400B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70670">
      <w:bodyDiv w:val="1"/>
      <w:marLeft w:val="0"/>
      <w:marRight w:val="0"/>
      <w:marTop w:val="0"/>
      <w:marBottom w:val="0"/>
      <w:divBdr>
        <w:top w:val="none" w:sz="0" w:space="0" w:color="auto"/>
        <w:left w:val="none" w:sz="0" w:space="0" w:color="auto"/>
        <w:bottom w:val="none" w:sz="0" w:space="0" w:color="auto"/>
        <w:right w:val="none" w:sz="0" w:space="0" w:color="auto"/>
      </w:divBdr>
      <w:divsChild>
        <w:div w:id="1708601191">
          <w:marLeft w:val="0"/>
          <w:marRight w:val="0"/>
          <w:marTop w:val="0"/>
          <w:marBottom w:val="0"/>
          <w:divBdr>
            <w:top w:val="none" w:sz="0" w:space="0" w:color="auto"/>
            <w:left w:val="none" w:sz="0" w:space="0" w:color="auto"/>
            <w:bottom w:val="none" w:sz="0" w:space="0" w:color="auto"/>
            <w:right w:val="none" w:sz="0" w:space="0" w:color="auto"/>
          </w:divBdr>
          <w:divsChild>
            <w:div w:id="1548493499">
              <w:marLeft w:val="0"/>
              <w:marRight w:val="0"/>
              <w:marTop w:val="0"/>
              <w:marBottom w:val="0"/>
              <w:divBdr>
                <w:top w:val="none" w:sz="0" w:space="0" w:color="auto"/>
                <w:left w:val="none" w:sz="0" w:space="0" w:color="auto"/>
                <w:bottom w:val="none" w:sz="0" w:space="0" w:color="auto"/>
                <w:right w:val="none" w:sz="0" w:space="0" w:color="auto"/>
              </w:divBdr>
              <w:divsChild>
                <w:div w:id="902642017">
                  <w:marLeft w:val="0"/>
                  <w:marRight w:val="0"/>
                  <w:marTop w:val="0"/>
                  <w:marBottom w:val="0"/>
                  <w:divBdr>
                    <w:top w:val="none" w:sz="0" w:space="0" w:color="auto"/>
                    <w:left w:val="none" w:sz="0" w:space="0" w:color="auto"/>
                    <w:bottom w:val="none" w:sz="0" w:space="0" w:color="auto"/>
                    <w:right w:val="none" w:sz="0" w:space="0" w:color="auto"/>
                  </w:divBdr>
                  <w:divsChild>
                    <w:div w:id="815873126">
                      <w:marLeft w:val="0"/>
                      <w:marRight w:val="0"/>
                      <w:marTop w:val="0"/>
                      <w:marBottom w:val="0"/>
                      <w:divBdr>
                        <w:top w:val="none" w:sz="0" w:space="0" w:color="auto"/>
                        <w:left w:val="none" w:sz="0" w:space="0" w:color="auto"/>
                        <w:bottom w:val="none" w:sz="0" w:space="0" w:color="auto"/>
                        <w:right w:val="none" w:sz="0" w:space="0" w:color="auto"/>
                      </w:divBdr>
                      <w:divsChild>
                        <w:div w:id="1472097582">
                          <w:marLeft w:val="0"/>
                          <w:marRight w:val="0"/>
                          <w:marTop w:val="0"/>
                          <w:marBottom w:val="0"/>
                          <w:divBdr>
                            <w:top w:val="none" w:sz="0" w:space="0" w:color="auto"/>
                            <w:left w:val="none" w:sz="0" w:space="0" w:color="auto"/>
                            <w:bottom w:val="none" w:sz="0" w:space="0" w:color="auto"/>
                            <w:right w:val="none" w:sz="0" w:space="0" w:color="auto"/>
                          </w:divBdr>
                          <w:divsChild>
                            <w:div w:id="1201481413">
                              <w:marLeft w:val="0"/>
                              <w:marRight w:val="0"/>
                              <w:marTop w:val="0"/>
                              <w:marBottom w:val="0"/>
                              <w:divBdr>
                                <w:top w:val="none" w:sz="0" w:space="0" w:color="auto"/>
                                <w:left w:val="none" w:sz="0" w:space="0" w:color="auto"/>
                                <w:bottom w:val="none" w:sz="0" w:space="0" w:color="auto"/>
                                <w:right w:val="none" w:sz="0" w:space="0" w:color="auto"/>
                              </w:divBdr>
                              <w:divsChild>
                                <w:div w:id="1725107366">
                                  <w:marLeft w:val="0"/>
                                  <w:marRight w:val="0"/>
                                  <w:marTop w:val="0"/>
                                  <w:marBottom w:val="0"/>
                                  <w:divBdr>
                                    <w:top w:val="none" w:sz="0" w:space="0" w:color="auto"/>
                                    <w:left w:val="none" w:sz="0" w:space="0" w:color="auto"/>
                                    <w:bottom w:val="none" w:sz="0" w:space="0" w:color="auto"/>
                                    <w:right w:val="none" w:sz="0" w:space="0" w:color="auto"/>
                                  </w:divBdr>
                                  <w:divsChild>
                                    <w:div w:id="96173528">
                                      <w:marLeft w:val="0"/>
                                      <w:marRight w:val="0"/>
                                      <w:marTop w:val="0"/>
                                      <w:marBottom w:val="0"/>
                                      <w:divBdr>
                                        <w:top w:val="none" w:sz="0" w:space="0" w:color="auto"/>
                                        <w:left w:val="none" w:sz="0" w:space="0" w:color="auto"/>
                                        <w:bottom w:val="none" w:sz="0" w:space="0" w:color="auto"/>
                                        <w:right w:val="none" w:sz="0" w:space="0" w:color="auto"/>
                                      </w:divBdr>
                                      <w:divsChild>
                                        <w:div w:id="9525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veyoursay.agriculture.gov.au/48658/documents/114288" TargetMode="External"/><Relationship Id="rId3" Type="http://schemas.openxmlformats.org/officeDocument/2006/relationships/settings" Target="settings.xml"/><Relationship Id="rId7" Type="http://schemas.openxmlformats.org/officeDocument/2006/relationships/hyperlink" Target="http://www.agriculture.gov.au/biosecurity/partnerships/nbc/intergovernmental-agreement-on-biosecurity/igab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bmakinson2073@gmail.com" TargetMode="External"/><Relationship Id="rId11" Type="http://schemas.openxmlformats.org/officeDocument/2006/relationships/theme" Target="theme/theme1.xml"/><Relationship Id="rId5" Type="http://schemas.openxmlformats.org/officeDocument/2006/relationships/hyperlink" Target="mailto:business@anpc.asn.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aveyoursay.agriculture.gov.au/48658/documents/114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F4F9461F.dotm</Template>
  <TotalTime>306</TotalTime>
  <Pages>5</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Makinson</dc:creator>
  <cp:keywords/>
  <dc:description/>
  <cp:lastModifiedBy>Robert Makinson</cp:lastModifiedBy>
  <cp:revision>7</cp:revision>
  <dcterms:created xsi:type="dcterms:W3CDTF">2019-09-22T08:19:00Z</dcterms:created>
  <dcterms:modified xsi:type="dcterms:W3CDTF">2019-09-30T23:39:00Z</dcterms:modified>
</cp:coreProperties>
</file>